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272DD" w14:textId="05B2DFCE" w:rsidR="00043864" w:rsidRPr="00843B2C" w:rsidRDefault="00EA6BCE" w:rsidP="00242686">
      <w:pPr>
        <w:spacing w:after="0" w:line="240" w:lineRule="auto"/>
        <w:contextualSpacing/>
        <w:jc w:val="both"/>
        <w:rPr>
          <w:rFonts w:ascii="Times New Roman" w:hAnsi="Times New Roman" w:cs="Times New Roman"/>
          <w:b/>
          <w:lang w:val="es-ES"/>
        </w:rPr>
      </w:pPr>
      <w:r w:rsidRPr="00843B2C">
        <w:rPr>
          <w:rFonts w:ascii="Times New Roman" w:hAnsi="Times New Roman" w:cs="Times New Roman"/>
          <w:b/>
          <w:lang w:val="es-ES"/>
        </w:rPr>
        <w:t>Estimaciones del m</w:t>
      </w:r>
      <w:r w:rsidR="00043864" w:rsidRPr="00843B2C">
        <w:rPr>
          <w:rFonts w:ascii="Times New Roman" w:hAnsi="Times New Roman" w:cs="Times New Roman"/>
          <w:b/>
          <w:lang w:val="es-ES"/>
        </w:rPr>
        <w:t>odelo de trasmisión de Coronavirus COVID-19</w:t>
      </w:r>
      <w:r w:rsidRPr="00843B2C">
        <w:rPr>
          <w:rFonts w:ascii="Times New Roman" w:hAnsi="Times New Roman" w:cs="Times New Roman"/>
          <w:b/>
          <w:lang w:val="es-ES"/>
        </w:rPr>
        <w:t xml:space="preserve"> </w:t>
      </w:r>
      <w:r w:rsidR="00E20EA9" w:rsidRPr="00843B2C">
        <w:rPr>
          <w:rFonts w:ascii="Times New Roman" w:hAnsi="Times New Roman" w:cs="Times New Roman"/>
          <w:b/>
          <w:lang w:val="es-ES"/>
        </w:rPr>
        <w:t xml:space="preserve">para </w:t>
      </w:r>
      <w:r w:rsidR="006F140C" w:rsidRPr="00843B2C">
        <w:rPr>
          <w:rFonts w:ascii="Times New Roman" w:hAnsi="Times New Roman" w:cs="Times New Roman"/>
          <w:b/>
          <w:lang w:val="es-ES"/>
        </w:rPr>
        <w:t>Puerto Carreño</w:t>
      </w:r>
    </w:p>
    <w:p w14:paraId="44CD5C6E" w14:textId="7C8E3A64" w:rsidR="00043864" w:rsidRPr="00843B2C" w:rsidRDefault="00043864" w:rsidP="00242686">
      <w:pPr>
        <w:spacing w:after="0" w:line="240" w:lineRule="auto"/>
        <w:jc w:val="both"/>
        <w:rPr>
          <w:rFonts w:ascii="Times New Roman" w:hAnsi="Times New Roman" w:cs="Times New Roman"/>
          <w:lang w:val="es-ES"/>
        </w:rPr>
      </w:pPr>
    </w:p>
    <w:p w14:paraId="776318B8" w14:textId="57BE5B55" w:rsidR="00EA6BCE" w:rsidRPr="00843B2C" w:rsidRDefault="00EA6BCE" w:rsidP="00242686">
      <w:pPr>
        <w:spacing w:after="0" w:line="240" w:lineRule="auto"/>
        <w:jc w:val="both"/>
        <w:rPr>
          <w:rFonts w:ascii="Times New Roman" w:hAnsi="Times New Roman" w:cs="Times New Roman"/>
          <w:lang w:val="es-ES"/>
        </w:rPr>
      </w:pPr>
      <w:r w:rsidRPr="00843B2C">
        <w:rPr>
          <w:rFonts w:ascii="Times New Roman" w:hAnsi="Times New Roman" w:cs="Times New Roman"/>
          <w:lang w:val="es-ES"/>
        </w:rPr>
        <w:t>Observatorio Nacional de Salud, Instituto Nacional de Salud</w:t>
      </w:r>
    </w:p>
    <w:p w14:paraId="3CC2B8FA" w14:textId="77777777" w:rsidR="00EA6BCE" w:rsidRPr="00843B2C" w:rsidRDefault="00EA6BCE" w:rsidP="00242686">
      <w:pPr>
        <w:spacing w:after="0" w:line="240" w:lineRule="auto"/>
        <w:jc w:val="both"/>
        <w:rPr>
          <w:rFonts w:ascii="Times New Roman" w:hAnsi="Times New Roman" w:cs="Times New Roman"/>
          <w:lang w:val="es-ES"/>
        </w:rPr>
      </w:pPr>
    </w:p>
    <w:p w14:paraId="155FC121" w14:textId="65E7333D" w:rsidR="000A6EFA" w:rsidRPr="00843B2C" w:rsidRDefault="00043864" w:rsidP="00242686">
      <w:pPr>
        <w:spacing w:after="0" w:line="240" w:lineRule="auto"/>
        <w:jc w:val="both"/>
        <w:rPr>
          <w:rFonts w:ascii="Times New Roman" w:hAnsi="Times New Roman" w:cs="Times New Roman"/>
          <w:lang w:val="es-ES"/>
        </w:rPr>
      </w:pPr>
      <w:r w:rsidRPr="00843B2C">
        <w:rPr>
          <w:rFonts w:ascii="Times New Roman" w:hAnsi="Times New Roman" w:cs="Times New Roman"/>
          <w:lang w:val="es-ES"/>
        </w:rPr>
        <w:t>La enfermedad del coronavirus 2019 (COVID-19) es un problema actual de salud pública.</w:t>
      </w:r>
      <w:r w:rsidR="001F0AEE" w:rsidRPr="00843B2C">
        <w:rPr>
          <w:rFonts w:ascii="Times New Roman" w:hAnsi="Times New Roman" w:cs="Times New Roman"/>
          <w:lang w:val="es-ES"/>
        </w:rPr>
        <w:t xml:space="preserve"> Ante la incertidumbre del su comportamiento en el territorio nacional</w:t>
      </w:r>
      <w:r w:rsidR="00B60662" w:rsidRPr="00843B2C">
        <w:rPr>
          <w:rFonts w:ascii="Times New Roman" w:hAnsi="Times New Roman" w:cs="Times New Roman"/>
          <w:lang w:val="es-ES"/>
        </w:rPr>
        <w:t xml:space="preserve">, previo a </w:t>
      </w:r>
      <w:r w:rsidR="001F0AEE" w:rsidRPr="00843B2C">
        <w:rPr>
          <w:rFonts w:ascii="Times New Roman" w:hAnsi="Times New Roman" w:cs="Times New Roman"/>
          <w:lang w:val="es-ES"/>
        </w:rPr>
        <w:t xml:space="preserve">su detección en el país se optó por elaborar un </w:t>
      </w:r>
      <w:r w:rsidRPr="00843B2C">
        <w:rPr>
          <w:rFonts w:ascii="Times New Roman" w:hAnsi="Times New Roman" w:cs="Times New Roman"/>
          <w:lang w:val="es-ES"/>
        </w:rPr>
        <w:t>model</w:t>
      </w:r>
      <w:r w:rsidR="001F0AEE" w:rsidRPr="00843B2C">
        <w:rPr>
          <w:rFonts w:ascii="Times New Roman" w:hAnsi="Times New Roman" w:cs="Times New Roman"/>
          <w:lang w:val="es-ES"/>
        </w:rPr>
        <w:t>o predictivo</w:t>
      </w:r>
      <w:r w:rsidRPr="00843B2C">
        <w:rPr>
          <w:rFonts w:ascii="Times New Roman" w:hAnsi="Times New Roman" w:cs="Times New Roman"/>
          <w:lang w:val="es-ES"/>
        </w:rPr>
        <w:t xml:space="preserve"> de la epidemia </w:t>
      </w:r>
      <w:r w:rsidR="001F0AEE" w:rsidRPr="00843B2C">
        <w:rPr>
          <w:rFonts w:ascii="Times New Roman" w:hAnsi="Times New Roman" w:cs="Times New Roman"/>
          <w:lang w:val="es-ES"/>
        </w:rPr>
        <w:t>con el fin de preparar medidas en relación con su</w:t>
      </w:r>
      <w:r w:rsidRPr="00843B2C">
        <w:rPr>
          <w:rFonts w:ascii="Times New Roman" w:hAnsi="Times New Roman" w:cs="Times New Roman"/>
          <w:lang w:val="es-ES"/>
        </w:rPr>
        <w:t xml:space="preserve"> detección, su prevención, su tratamiento y su control. </w:t>
      </w:r>
    </w:p>
    <w:p w14:paraId="1580C850" w14:textId="77777777" w:rsidR="00CD187A" w:rsidRPr="00843B2C" w:rsidRDefault="00CD187A" w:rsidP="00242686">
      <w:pPr>
        <w:spacing w:after="0" w:line="240" w:lineRule="auto"/>
        <w:jc w:val="both"/>
        <w:rPr>
          <w:rFonts w:ascii="Times New Roman" w:hAnsi="Times New Roman" w:cs="Times New Roman"/>
          <w:lang w:val="es-ES"/>
        </w:rPr>
      </w:pPr>
    </w:p>
    <w:p w14:paraId="089156D2" w14:textId="1BDCD340" w:rsidR="00043864" w:rsidRPr="00843B2C" w:rsidRDefault="00043864" w:rsidP="00242686">
      <w:pPr>
        <w:spacing w:after="0" w:line="240" w:lineRule="auto"/>
        <w:jc w:val="both"/>
        <w:rPr>
          <w:rFonts w:ascii="Times New Roman" w:hAnsi="Times New Roman" w:cs="Times New Roman"/>
          <w:lang w:val="es-ES"/>
        </w:rPr>
      </w:pPr>
      <w:r w:rsidRPr="00843B2C">
        <w:rPr>
          <w:rFonts w:ascii="Times New Roman" w:hAnsi="Times New Roman" w:cs="Times New Roman"/>
          <w:lang w:val="es-ES"/>
        </w:rPr>
        <w:t>Se adoptó el modelo tipo SIR, que divide la población afectada en tres grupos: “S” el grupo de individuos susceptibles o que pueden contagiarse, “I” el grupo de individuos infectados o que son capaces de transmitir la enfermedad, y “R” el grupo de individuos recuperados de la infección (los que adquieren inmunidad)</w:t>
      </w:r>
      <w:r w:rsidR="0089382F" w:rsidRPr="00843B2C">
        <w:rPr>
          <w:rFonts w:ascii="Times New Roman" w:hAnsi="Times New Roman" w:cs="Times New Roman"/>
          <w:lang w:val="es-ES"/>
        </w:rPr>
        <w:t xml:space="preserve"> </w:t>
      </w:r>
      <w:r w:rsidR="0089382F" w:rsidRPr="00843B2C">
        <w:rPr>
          <w:rFonts w:ascii="Times New Roman" w:hAnsi="Times New Roman" w:cs="Times New Roman"/>
          <w:lang w:val="es-ES"/>
        </w:rPr>
        <w:fldChar w:fldCharType="begin" w:fldLock="1"/>
      </w:r>
      <w:r w:rsidR="00AB0C5A" w:rsidRPr="00843B2C">
        <w:rPr>
          <w:rFonts w:ascii="Times New Roman" w:hAnsi="Times New Roman" w:cs="Times New Roman"/>
          <w:lang w:val="es-ES"/>
        </w:rPr>
        <w:instrText>ADDIN CSL_CITATION {"citationItems":[{"id":"ITEM-1","itemData":{"ISSN":"1405-0269","author":[{"dropping-particle":"","family":"Uribarri","given":"Salvador","non-dropping-particle":"","parse-names":false,"suffix":""},{"dropping-particle":"","family":"Rodríguez Meza","given":"Mario","non-dropping-particle":"","parse-names":false,"suffix":""},{"dropping-particle":"","family":"Cervantes Cota","given":"Jorge","non-dropping-particle":"","parse-names":false,"suffix":""}],"container-title":"Ciencia Ergo Sum","id":"ITEM-1","issue":"3","issued":{"date-parts":[["2013"]]},"page":"238-246","title":"Las matemáticas de las epidemias: caso México 2009 y otros","type":"article-journal","volume":"20"},"uris":["http://www.mendeley.com/documents/?uuid=78e15b50-a06b-4d00-9dd5-acd50c1a9d96","http://www.mendeley.com/documents/?uuid=132246c3-1cdc-4c75-b939-d8cf08439e2c","http://www.mendeley.com/documents/?uuid=39a09e5c-b6a1-4bf8-a939-a9a855341200","http://www.mendeley.com/documents/?uuid=97db767b-9add-4d54-bbb3-40b51a7b842b","http://www.mendeley.com/documents/?uuid=7806d3bc-18f1-4f61-8f37-9c4237df47b6"]}],"mendeley":{"formattedCitation":"(1)","plainTextFormattedCitation":"(1)","previouslyFormattedCitation":"(1)"},"properties":{"noteIndex":0},"schema":"https://github.com/citation-style-language/schema/raw/master/csl-citation.json"}</w:instrText>
      </w:r>
      <w:r w:rsidR="0089382F" w:rsidRPr="00843B2C">
        <w:rPr>
          <w:rFonts w:ascii="Times New Roman" w:hAnsi="Times New Roman" w:cs="Times New Roman"/>
          <w:lang w:val="es-ES"/>
        </w:rPr>
        <w:fldChar w:fldCharType="separate"/>
      </w:r>
      <w:r w:rsidR="0089382F" w:rsidRPr="00843B2C">
        <w:rPr>
          <w:rFonts w:ascii="Times New Roman" w:hAnsi="Times New Roman" w:cs="Times New Roman"/>
          <w:noProof/>
          <w:lang w:val="es-ES"/>
        </w:rPr>
        <w:t>(1)</w:t>
      </w:r>
      <w:r w:rsidR="0089382F" w:rsidRPr="00843B2C">
        <w:rPr>
          <w:rFonts w:ascii="Times New Roman" w:hAnsi="Times New Roman" w:cs="Times New Roman"/>
          <w:lang w:val="es-ES"/>
        </w:rPr>
        <w:fldChar w:fldCharType="end"/>
      </w:r>
      <w:r w:rsidRPr="00843B2C">
        <w:rPr>
          <w:rFonts w:ascii="Times New Roman" w:hAnsi="Times New Roman" w:cs="Times New Roman"/>
          <w:lang w:val="es-ES"/>
        </w:rPr>
        <w:t xml:space="preserve">. </w:t>
      </w:r>
    </w:p>
    <w:p w14:paraId="4ABC5AC7" w14:textId="77777777" w:rsidR="00043864" w:rsidRPr="00843B2C" w:rsidRDefault="00043864" w:rsidP="00242686">
      <w:pPr>
        <w:spacing w:after="0" w:line="240" w:lineRule="auto"/>
        <w:contextualSpacing/>
        <w:jc w:val="both"/>
        <w:rPr>
          <w:rFonts w:ascii="Times New Roman" w:hAnsi="Times New Roman" w:cs="Times New Roman"/>
          <w:lang w:val="es-ES"/>
        </w:rPr>
      </w:pPr>
    </w:p>
    <w:p w14:paraId="36F36FBE" w14:textId="77777777" w:rsidR="00043864" w:rsidRPr="00843B2C" w:rsidRDefault="00043864" w:rsidP="00242686">
      <w:pPr>
        <w:spacing w:after="0" w:line="240" w:lineRule="auto"/>
        <w:contextualSpacing/>
        <w:jc w:val="both"/>
        <w:rPr>
          <w:rFonts w:ascii="Times New Roman" w:hAnsi="Times New Roman" w:cs="Times New Roman"/>
          <w:lang w:val="es-ES"/>
        </w:rPr>
      </w:pPr>
      <w:r w:rsidRPr="00843B2C">
        <w:rPr>
          <w:rFonts w:ascii="Times New Roman" w:hAnsi="Times New Roman" w:cs="Times New Roman"/>
          <w:lang w:val="es-ES"/>
        </w:rPr>
        <w:t xml:space="preserve">El modelo predictivo SIR de trasmisión del COVID-19 </w:t>
      </w:r>
      <w:r w:rsidR="00CD187A" w:rsidRPr="00843B2C">
        <w:rPr>
          <w:rFonts w:ascii="Times New Roman" w:hAnsi="Times New Roman" w:cs="Times New Roman"/>
          <w:lang w:val="es-ES"/>
        </w:rPr>
        <w:t xml:space="preserve">se ajustó </w:t>
      </w:r>
      <w:r w:rsidRPr="00843B2C">
        <w:rPr>
          <w:rFonts w:ascii="Times New Roman" w:hAnsi="Times New Roman" w:cs="Times New Roman"/>
          <w:lang w:val="es-ES"/>
        </w:rPr>
        <w:t>con los datos diarios de los territorios con transmisión activa reportados a la O</w:t>
      </w:r>
      <w:r w:rsidR="00CD187A" w:rsidRPr="00843B2C">
        <w:rPr>
          <w:rFonts w:ascii="Times New Roman" w:hAnsi="Times New Roman" w:cs="Times New Roman"/>
          <w:lang w:val="es-ES"/>
        </w:rPr>
        <w:t xml:space="preserve">rganización </w:t>
      </w:r>
      <w:r w:rsidRPr="00843B2C">
        <w:rPr>
          <w:rFonts w:ascii="Times New Roman" w:hAnsi="Times New Roman" w:cs="Times New Roman"/>
          <w:lang w:val="es-ES"/>
        </w:rPr>
        <w:t>M</w:t>
      </w:r>
      <w:r w:rsidR="00CD187A" w:rsidRPr="00843B2C">
        <w:rPr>
          <w:rFonts w:ascii="Times New Roman" w:hAnsi="Times New Roman" w:cs="Times New Roman"/>
          <w:lang w:val="es-ES"/>
        </w:rPr>
        <w:t>undial de la Salud</w:t>
      </w:r>
      <w:r w:rsidRPr="00843B2C">
        <w:rPr>
          <w:rFonts w:ascii="Times New Roman" w:hAnsi="Times New Roman" w:cs="Times New Roman"/>
          <w:lang w:val="es-ES"/>
        </w:rPr>
        <w:t xml:space="preserve"> y</w:t>
      </w:r>
      <w:r w:rsidR="002651D7" w:rsidRPr="00843B2C">
        <w:rPr>
          <w:rFonts w:ascii="Times New Roman" w:hAnsi="Times New Roman" w:cs="Times New Roman"/>
          <w:lang w:val="es-ES"/>
        </w:rPr>
        <w:t xml:space="preserve"> se usó para</w:t>
      </w:r>
      <w:r w:rsidRPr="00843B2C">
        <w:rPr>
          <w:rFonts w:ascii="Times New Roman" w:hAnsi="Times New Roman" w:cs="Times New Roman"/>
          <w:lang w:val="es-ES"/>
        </w:rPr>
        <w:t xml:space="preserve"> estimar posibles escenarios de trasmisión en Colombia.</w:t>
      </w:r>
    </w:p>
    <w:p w14:paraId="341291A2" w14:textId="77777777" w:rsidR="009E309C" w:rsidRPr="00843B2C" w:rsidRDefault="009E309C" w:rsidP="00242686">
      <w:pPr>
        <w:spacing w:after="0" w:line="240" w:lineRule="auto"/>
        <w:contextualSpacing/>
        <w:jc w:val="both"/>
        <w:rPr>
          <w:rFonts w:ascii="Times New Roman" w:hAnsi="Times New Roman" w:cs="Times New Roman"/>
          <w:lang w:val="es-ES"/>
        </w:rPr>
      </w:pPr>
    </w:p>
    <w:p w14:paraId="41C93DDE" w14:textId="5DAB91E2" w:rsidR="00043864" w:rsidRPr="00843B2C" w:rsidRDefault="00F774DE" w:rsidP="0097735C">
      <w:pPr>
        <w:spacing w:after="0" w:line="240" w:lineRule="auto"/>
        <w:contextualSpacing/>
        <w:jc w:val="both"/>
        <w:rPr>
          <w:rFonts w:ascii="Times New Roman" w:hAnsi="Times New Roman" w:cs="Times New Roman"/>
          <w:lang w:val="es-ES"/>
        </w:rPr>
      </w:pPr>
      <w:r w:rsidRPr="00843B2C">
        <w:rPr>
          <w:rFonts w:ascii="Times New Roman" w:hAnsi="Times New Roman" w:cs="Times New Roman"/>
          <w:lang w:val="es-ES"/>
        </w:rPr>
        <w:t>E</w:t>
      </w:r>
      <w:r w:rsidR="009E309C" w:rsidRPr="00843B2C">
        <w:rPr>
          <w:rFonts w:ascii="Times New Roman" w:hAnsi="Times New Roman" w:cs="Times New Roman"/>
          <w:lang w:val="es-ES"/>
        </w:rPr>
        <w:t xml:space="preserve">l modelo </w:t>
      </w:r>
      <w:r w:rsidRPr="00843B2C">
        <w:rPr>
          <w:rFonts w:ascii="Times New Roman" w:hAnsi="Times New Roman" w:cs="Times New Roman"/>
          <w:lang w:val="es-ES"/>
        </w:rPr>
        <w:t>inicialmente</w:t>
      </w:r>
      <w:r w:rsidR="009E309C" w:rsidRPr="00843B2C">
        <w:rPr>
          <w:rFonts w:ascii="Times New Roman" w:hAnsi="Times New Roman" w:cs="Times New Roman"/>
          <w:lang w:val="es-ES"/>
        </w:rPr>
        <w:t xml:space="preserve"> emple</w:t>
      </w:r>
      <w:r w:rsidR="0097735C" w:rsidRPr="00843B2C">
        <w:rPr>
          <w:rFonts w:ascii="Times New Roman" w:hAnsi="Times New Roman" w:cs="Times New Roman"/>
          <w:lang w:val="es-ES"/>
        </w:rPr>
        <w:t>ó</w:t>
      </w:r>
      <w:r w:rsidR="009E309C" w:rsidRPr="00843B2C">
        <w:rPr>
          <w:rFonts w:ascii="Times New Roman" w:hAnsi="Times New Roman" w:cs="Times New Roman"/>
          <w:lang w:val="es-ES"/>
        </w:rPr>
        <w:t xml:space="preserve"> información de la t</w:t>
      </w:r>
      <w:r w:rsidR="00043864" w:rsidRPr="00843B2C">
        <w:rPr>
          <w:rFonts w:ascii="Times New Roman" w:hAnsi="Times New Roman" w:cs="Times New Roman"/>
          <w:lang w:val="es-ES"/>
        </w:rPr>
        <w:t>asa de infección</w:t>
      </w:r>
      <w:r w:rsidR="009E309C" w:rsidRPr="00843B2C">
        <w:rPr>
          <w:rFonts w:ascii="Times New Roman" w:hAnsi="Times New Roman" w:cs="Times New Roman"/>
          <w:lang w:val="es-ES"/>
        </w:rPr>
        <w:t>, la t</w:t>
      </w:r>
      <w:r w:rsidR="00043864" w:rsidRPr="00843B2C">
        <w:rPr>
          <w:rFonts w:ascii="Times New Roman" w:eastAsiaTheme="minorEastAsia" w:hAnsi="Times New Roman" w:cs="Times New Roman"/>
          <w:lang w:val="es-ES"/>
        </w:rPr>
        <w:t>asa de recuperación</w:t>
      </w:r>
      <w:r w:rsidR="009E309C" w:rsidRPr="00843B2C">
        <w:rPr>
          <w:rFonts w:ascii="Times New Roman" w:eastAsiaTheme="minorEastAsia" w:hAnsi="Times New Roman" w:cs="Times New Roman"/>
          <w:lang w:val="es-ES"/>
        </w:rPr>
        <w:t>, e</w:t>
      </w:r>
      <w:r w:rsidR="00043864" w:rsidRPr="00843B2C">
        <w:rPr>
          <w:rFonts w:ascii="Times New Roman" w:hAnsi="Times New Roman" w:cs="Times New Roman"/>
          <w:lang w:val="es-ES"/>
        </w:rPr>
        <w:t>l R</w:t>
      </w:r>
      <w:r w:rsidR="00B60662" w:rsidRPr="00843B2C">
        <w:rPr>
          <w:rFonts w:ascii="Times New Roman" w:hAnsi="Times New Roman" w:cs="Times New Roman"/>
          <w:lang w:val="es-ES"/>
        </w:rPr>
        <w:t>0</w:t>
      </w:r>
      <w:r w:rsidR="009E309C" w:rsidRPr="00843B2C">
        <w:rPr>
          <w:rFonts w:ascii="Times New Roman" w:hAnsi="Times New Roman" w:cs="Times New Roman"/>
          <w:lang w:val="es-ES"/>
        </w:rPr>
        <w:t xml:space="preserve"> (</w:t>
      </w:r>
      <w:r w:rsidR="00043864" w:rsidRPr="00843B2C">
        <w:rPr>
          <w:rFonts w:ascii="Times New Roman" w:hAnsi="Times New Roman" w:cs="Times New Roman"/>
          <w:lang w:val="es-ES"/>
        </w:rPr>
        <w:t>promedio de casos originados de un caso nuevo en una población susceptible</w:t>
      </w:r>
      <w:r w:rsidR="009E309C" w:rsidRPr="00843B2C">
        <w:rPr>
          <w:rFonts w:ascii="Times New Roman" w:hAnsi="Times New Roman" w:cs="Times New Roman"/>
          <w:lang w:val="es-ES"/>
        </w:rPr>
        <w:t xml:space="preserve">) y se </w:t>
      </w:r>
      <w:r w:rsidR="00043864" w:rsidRPr="00843B2C">
        <w:rPr>
          <w:rFonts w:ascii="Times New Roman" w:hAnsi="Times New Roman" w:cs="Times New Roman"/>
          <w:lang w:val="es-ES"/>
        </w:rPr>
        <w:t>validó con los reportes d</w:t>
      </w:r>
      <w:r w:rsidR="009E309C" w:rsidRPr="00843B2C">
        <w:rPr>
          <w:rFonts w:ascii="Times New Roman" w:hAnsi="Times New Roman" w:cs="Times New Roman"/>
          <w:lang w:val="es-ES"/>
        </w:rPr>
        <w:t>iarios de la provincia de Hubei</w:t>
      </w:r>
      <w:r w:rsidR="00043864" w:rsidRPr="00843B2C">
        <w:rPr>
          <w:rFonts w:ascii="Times New Roman" w:hAnsi="Times New Roman" w:cs="Times New Roman"/>
          <w:lang w:val="es-ES"/>
        </w:rPr>
        <w:t xml:space="preserve"> </w:t>
      </w:r>
      <w:r w:rsidR="009E309C" w:rsidRPr="00843B2C">
        <w:rPr>
          <w:rFonts w:ascii="Times New Roman" w:hAnsi="Times New Roman" w:cs="Times New Roman"/>
          <w:lang w:val="es-ES"/>
        </w:rPr>
        <w:t>(</w:t>
      </w:r>
      <w:r w:rsidR="00043864" w:rsidRPr="00843B2C">
        <w:rPr>
          <w:rFonts w:ascii="Times New Roman" w:hAnsi="Times New Roman" w:cs="Times New Roman"/>
          <w:lang w:val="es-ES"/>
        </w:rPr>
        <w:t>China</w:t>
      </w:r>
      <w:r w:rsidR="009E309C" w:rsidRPr="00843B2C">
        <w:rPr>
          <w:rFonts w:ascii="Times New Roman" w:hAnsi="Times New Roman" w:cs="Times New Roman"/>
          <w:lang w:val="es-ES"/>
        </w:rPr>
        <w:t>)</w:t>
      </w:r>
      <w:r w:rsidR="00CD2945" w:rsidRPr="00843B2C">
        <w:rPr>
          <w:rFonts w:ascii="Times New Roman" w:hAnsi="Times New Roman" w:cs="Times New Roman"/>
          <w:lang w:val="es-ES"/>
        </w:rPr>
        <w:t xml:space="preserve"> </w:t>
      </w:r>
      <w:r w:rsidR="00CD2945" w:rsidRPr="00843B2C">
        <w:rPr>
          <w:rFonts w:ascii="Times New Roman" w:hAnsi="Times New Roman" w:cs="Times New Roman"/>
          <w:lang w:val="es-ES"/>
        </w:rPr>
        <w:fldChar w:fldCharType="begin" w:fldLock="1"/>
      </w:r>
      <w:r w:rsidR="00AB0C5A" w:rsidRPr="00843B2C">
        <w:rPr>
          <w:rFonts w:ascii="Times New Roman" w:hAnsi="Times New Roman" w:cs="Times New Roman"/>
          <w:lang w:val="es-ES"/>
        </w:rPr>
        <w:instrText>ADDIN CSL_CITATION {"citationItems":[{"id":"ITEM-1","itemData":{"author":[{"dropping-particle":"","family":"Ministerio de sanidad","given":"","non-dropping-particle":"","parse-names":false,"suffix":""}],"id":"ITEM-1","issued":{"date-parts":[["2020"]]},"number-of-pages":"2-5","title":"Actualización nº 33. Enfermedad por el coronavirus (COVID-19) 28.02.2020","type":"report"},"uris":["http://www.mendeley.com/documents/?uuid=aad4ebbd-09b7-4dcb-a0b9-ff6af10f3e02","http://www.mendeley.com/documents/?uuid=30ad28a7-376b-47c3-ba0a-1f9fdae9f1e5","http://www.mendeley.com/documents/?uuid=ade697f8-a7f3-4dfb-b719-9a6473bd835c","http://www.mendeley.com/documents/?uuid=18e3a01d-de91-4b9a-ac68-9ff2fc295e83","http://www.mendeley.com/documents/?uuid=a55171c0-780c-40a7-96a1-21defeccbaf1","http://www.mendeley.com/documents/?uuid=c7d0ceb3-dd3b-4b7a-8331-900ebb575c76"]}],"mendeley":{"formattedCitation":"(2)","plainTextFormattedCitation":"(2)","previouslyFormattedCitation":"(2)"},"properties":{"noteIndex":0},"schema":"https://github.com/citation-style-language/schema/raw/master/csl-citation.json"}</w:instrText>
      </w:r>
      <w:r w:rsidR="00CD2945" w:rsidRPr="00843B2C">
        <w:rPr>
          <w:rFonts w:ascii="Times New Roman" w:hAnsi="Times New Roman" w:cs="Times New Roman"/>
          <w:lang w:val="es-ES"/>
        </w:rPr>
        <w:fldChar w:fldCharType="separate"/>
      </w:r>
      <w:r w:rsidR="0089382F" w:rsidRPr="00843B2C">
        <w:rPr>
          <w:rFonts w:ascii="Times New Roman" w:hAnsi="Times New Roman" w:cs="Times New Roman"/>
          <w:noProof/>
          <w:lang w:val="es-ES"/>
        </w:rPr>
        <w:t>(2)</w:t>
      </w:r>
      <w:r w:rsidR="00CD2945" w:rsidRPr="00843B2C">
        <w:rPr>
          <w:rFonts w:ascii="Times New Roman" w:hAnsi="Times New Roman" w:cs="Times New Roman"/>
          <w:lang w:val="es-ES"/>
        </w:rPr>
        <w:fldChar w:fldCharType="end"/>
      </w:r>
      <w:r w:rsidR="00043864" w:rsidRPr="00843B2C">
        <w:rPr>
          <w:rFonts w:ascii="Times New Roman" w:hAnsi="Times New Roman" w:cs="Times New Roman"/>
          <w:lang w:val="es-ES"/>
        </w:rPr>
        <w:t xml:space="preserve"> y del crucero </w:t>
      </w:r>
      <w:proofErr w:type="spellStart"/>
      <w:r w:rsidR="00043864" w:rsidRPr="00843B2C">
        <w:rPr>
          <w:rFonts w:ascii="Times New Roman" w:hAnsi="Times New Roman" w:cs="Times New Roman"/>
          <w:lang w:val="es-ES"/>
        </w:rPr>
        <w:t>Diamond</w:t>
      </w:r>
      <w:proofErr w:type="spellEnd"/>
      <w:r w:rsidR="00043864" w:rsidRPr="00843B2C">
        <w:rPr>
          <w:rFonts w:ascii="Times New Roman" w:hAnsi="Times New Roman" w:cs="Times New Roman"/>
          <w:lang w:val="es-ES"/>
        </w:rPr>
        <w:t xml:space="preserve"> </w:t>
      </w:r>
      <w:proofErr w:type="spellStart"/>
      <w:r w:rsidR="00043864" w:rsidRPr="00843B2C">
        <w:rPr>
          <w:rFonts w:ascii="Times New Roman" w:hAnsi="Times New Roman" w:cs="Times New Roman"/>
          <w:lang w:val="es-ES"/>
        </w:rPr>
        <w:t>Princess</w:t>
      </w:r>
      <w:proofErr w:type="spellEnd"/>
      <w:r w:rsidR="00CD2945" w:rsidRPr="00843B2C">
        <w:rPr>
          <w:rFonts w:ascii="Times New Roman" w:hAnsi="Times New Roman" w:cs="Times New Roman"/>
          <w:lang w:val="es-ES"/>
        </w:rPr>
        <w:t xml:space="preserve">  </w:t>
      </w:r>
      <w:r w:rsidR="00CD2945" w:rsidRPr="00843B2C">
        <w:rPr>
          <w:rFonts w:ascii="Times New Roman" w:hAnsi="Times New Roman" w:cs="Times New Roman"/>
          <w:lang w:val="es-ES"/>
        </w:rPr>
        <w:fldChar w:fldCharType="begin" w:fldLock="1"/>
      </w:r>
      <w:r w:rsidR="00AB0C5A" w:rsidRPr="00843B2C">
        <w:rPr>
          <w:rFonts w:ascii="Times New Roman" w:hAnsi="Times New Roman" w:cs="Times New Roman"/>
          <w:lang w:val="es-ES"/>
        </w:rPr>
        <w:instrText>ADDIN CSL_CITATION {"citationItems":[{"id":"ITEM-1","itemData":{"DOI":"10.1016/j.ijid.2020.02.033","ISSN":"1201-9712","author":[{"dropping-particle":"","family":"Zhang","given":"Sheng","non-dropping-particle":"","parse-names":false,"suffix":""},{"dropping-particle":"","family":"Diao","given":"Mengyuan","non-dropping-particle":"","parse-names":false,"suffix":""},{"dropping-particle":"","family":"Yu","given":"Wenbo","non-dropping-particle":"","parse-names":false,"suffix":""},{"dropping-particle":"","family":"Pei","given":"Lei","non-dropping-particle":"","parse-names":false,"suffix":""},{"dropping-particle":"","family":"Lin","given":"Zhaofen","non-dropping-particle":"","parse-names":false,"suffix":""},{"dropping-particle":"","family":"Chen","given":"Dechang","non-dropping-particle":"","parse-names":false,"suffix":""}],"container-title":"International Journal of Infectious Diseases","id":"ITEM-1","issued":{"date-parts":[["2020"]]},"page":"1-9","publisher":"International Society for Infectious Diseases","title":"Estimation of the reproductive number of Novel Coronavirus (COVID-19) and the probable outbreak size on the Diamond Princess cruise ship: A data-driven analysis","type":"article-journal"},"uris":["http://www.mendeley.com/documents/?uuid=f0c779c0-5f73-4c23-969f-d26f4a3330df"]}],"mendeley":{"formattedCitation":"(3)","plainTextFormattedCitation":"(3)","previouslyFormattedCitation":"(3)"},"properties":{"noteIndex":0},"schema":"https://github.com/citation-style-language/schema/raw/master/csl-citation.json"}</w:instrText>
      </w:r>
      <w:r w:rsidR="00CD2945" w:rsidRPr="00843B2C">
        <w:rPr>
          <w:rFonts w:ascii="Times New Roman" w:hAnsi="Times New Roman" w:cs="Times New Roman"/>
          <w:lang w:val="es-ES"/>
        </w:rPr>
        <w:fldChar w:fldCharType="separate"/>
      </w:r>
      <w:r w:rsidR="0089382F" w:rsidRPr="00843B2C">
        <w:rPr>
          <w:rFonts w:ascii="Times New Roman" w:hAnsi="Times New Roman" w:cs="Times New Roman"/>
          <w:noProof/>
          <w:lang w:val="es-ES"/>
        </w:rPr>
        <w:t>(3)</w:t>
      </w:r>
      <w:r w:rsidR="00CD2945" w:rsidRPr="00843B2C">
        <w:rPr>
          <w:rFonts w:ascii="Times New Roman" w:hAnsi="Times New Roman" w:cs="Times New Roman"/>
          <w:lang w:val="es-ES"/>
        </w:rPr>
        <w:fldChar w:fldCharType="end"/>
      </w:r>
      <w:r w:rsidR="00043864" w:rsidRPr="00843B2C">
        <w:rPr>
          <w:rFonts w:ascii="Times New Roman" w:hAnsi="Times New Roman" w:cs="Times New Roman"/>
          <w:lang w:val="es-ES"/>
        </w:rPr>
        <w:t xml:space="preserve">. </w:t>
      </w:r>
      <w:r w:rsidR="00025D83" w:rsidRPr="00843B2C">
        <w:rPr>
          <w:rFonts w:ascii="Times New Roman" w:hAnsi="Times New Roman" w:cs="Times New Roman"/>
          <w:lang w:val="es-ES"/>
        </w:rPr>
        <w:t>Día a día s</w:t>
      </w:r>
      <w:r w:rsidR="00043864" w:rsidRPr="00843B2C">
        <w:rPr>
          <w:rFonts w:ascii="Times New Roman" w:hAnsi="Times New Roman" w:cs="Times New Roman"/>
          <w:lang w:val="es-ES"/>
        </w:rPr>
        <w:t xml:space="preserve">e estimaron casos nuevos y acumulados </w:t>
      </w:r>
      <w:r w:rsidR="00025D83" w:rsidRPr="00843B2C">
        <w:rPr>
          <w:rFonts w:ascii="Times New Roman" w:hAnsi="Times New Roman" w:cs="Times New Roman"/>
          <w:lang w:val="es-ES"/>
        </w:rPr>
        <w:t>considerando</w:t>
      </w:r>
      <w:r w:rsidR="00043864" w:rsidRPr="00843B2C">
        <w:rPr>
          <w:rFonts w:ascii="Times New Roman" w:hAnsi="Times New Roman" w:cs="Times New Roman"/>
          <w:lang w:val="es-ES"/>
        </w:rPr>
        <w:t xml:space="preserve"> </w:t>
      </w:r>
      <w:r w:rsidR="00105D52" w:rsidRPr="00843B2C">
        <w:rPr>
          <w:rFonts w:ascii="Times New Roman" w:hAnsi="Times New Roman" w:cs="Times New Roman"/>
          <w:lang w:val="es-ES"/>
        </w:rPr>
        <w:t xml:space="preserve">una </w:t>
      </w:r>
      <w:r w:rsidR="00043864" w:rsidRPr="00843B2C">
        <w:rPr>
          <w:rFonts w:ascii="Times New Roman" w:hAnsi="Times New Roman" w:cs="Times New Roman"/>
          <w:lang w:val="es-ES"/>
        </w:rPr>
        <w:t>variación probabilística en los parámetros de duración de la enfermedad, R</w:t>
      </w:r>
      <w:r w:rsidR="00B60662" w:rsidRPr="00843B2C">
        <w:rPr>
          <w:rFonts w:ascii="Times New Roman" w:hAnsi="Times New Roman" w:cs="Times New Roman"/>
          <w:lang w:val="es-ES"/>
        </w:rPr>
        <w:t>0</w:t>
      </w:r>
      <w:r w:rsidR="00043864" w:rsidRPr="00843B2C">
        <w:rPr>
          <w:rFonts w:ascii="Times New Roman" w:hAnsi="Times New Roman" w:cs="Times New Roman"/>
          <w:lang w:val="es-ES"/>
        </w:rPr>
        <w:t xml:space="preserve"> y</w:t>
      </w:r>
      <w:r w:rsidR="00B60662" w:rsidRPr="00843B2C">
        <w:rPr>
          <w:rFonts w:ascii="Times New Roman" w:hAnsi="Times New Roman" w:cs="Times New Roman"/>
          <w:lang w:val="es-ES"/>
        </w:rPr>
        <w:t xml:space="preserve"> la</w:t>
      </w:r>
      <w:r w:rsidR="00043864" w:rsidRPr="00843B2C">
        <w:rPr>
          <w:rFonts w:ascii="Times New Roman" w:hAnsi="Times New Roman" w:cs="Times New Roman"/>
          <w:lang w:val="es-ES"/>
        </w:rPr>
        <w:t xml:space="preserve"> letalidad de los </w:t>
      </w:r>
      <w:r w:rsidR="00B60662" w:rsidRPr="00843B2C">
        <w:rPr>
          <w:rFonts w:ascii="Times New Roman" w:hAnsi="Times New Roman" w:cs="Times New Roman"/>
          <w:lang w:val="es-ES"/>
        </w:rPr>
        <w:t>infectados</w:t>
      </w:r>
      <w:r w:rsidR="00043864" w:rsidRPr="00843B2C">
        <w:rPr>
          <w:rFonts w:ascii="Times New Roman" w:hAnsi="Times New Roman" w:cs="Times New Roman"/>
          <w:lang w:val="es-ES"/>
        </w:rPr>
        <w:t xml:space="preserve">. </w:t>
      </w:r>
      <w:r w:rsidR="00105D52" w:rsidRPr="00843B2C">
        <w:rPr>
          <w:rFonts w:ascii="Times New Roman" w:hAnsi="Times New Roman" w:cs="Times New Roman"/>
          <w:lang w:val="es-ES"/>
        </w:rPr>
        <w:t>Para efectos operativos</w:t>
      </w:r>
      <w:r w:rsidR="00043864" w:rsidRPr="00843B2C">
        <w:rPr>
          <w:rFonts w:ascii="Times New Roman" w:hAnsi="Times New Roman" w:cs="Times New Roman"/>
          <w:lang w:val="es-ES"/>
        </w:rPr>
        <w:t xml:space="preserve"> </w:t>
      </w:r>
      <w:r w:rsidR="00105D52" w:rsidRPr="00843B2C">
        <w:rPr>
          <w:rFonts w:ascii="Times New Roman" w:hAnsi="Times New Roman" w:cs="Times New Roman"/>
          <w:lang w:val="es-ES"/>
        </w:rPr>
        <w:t>s</w:t>
      </w:r>
      <w:r w:rsidR="00043864" w:rsidRPr="00843B2C">
        <w:rPr>
          <w:rFonts w:ascii="Times New Roman" w:hAnsi="Times New Roman" w:cs="Times New Roman"/>
          <w:lang w:val="es-ES"/>
        </w:rPr>
        <w:t xml:space="preserve">e presentan los datos en gráficas con casos acumulados desde el día cero hasta </w:t>
      </w:r>
      <w:r w:rsidR="00B60662" w:rsidRPr="00843B2C">
        <w:rPr>
          <w:rFonts w:ascii="Times New Roman" w:hAnsi="Times New Roman" w:cs="Times New Roman"/>
          <w:lang w:val="es-ES"/>
        </w:rPr>
        <w:t>el</w:t>
      </w:r>
      <w:r w:rsidR="00043864" w:rsidRPr="00843B2C">
        <w:rPr>
          <w:rFonts w:ascii="Times New Roman" w:hAnsi="Times New Roman" w:cs="Times New Roman"/>
          <w:lang w:val="es-ES"/>
        </w:rPr>
        <w:t xml:space="preserve"> día</w:t>
      </w:r>
      <w:r w:rsidR="00B60662" w:rsidRPr="00843B2C">
        <w:rPr>
          <w:rFonts w:ascii="Times New Roman" w:hAnsi="Times New Roman" w:cs="Times New Roman"/>
          <w:lang w:val="es-ES"/>
        </w:rPr>
        <w:t xml:space="preserve"> 300</w:t>
      </w:r>
      <w:r w:rsidR="0097735C" w:rsidRPr="00843B2C">
        <w:rPr>
          <w:rFonts w:ascii="Times New Roman" w:hAnsi="Times New Roman" w:cs="Times New Roman"/>
          <w:lang w:val="es-ES"/>
        </w:rPr>
        <w:t xml:space="preserve"> comparando el escenario de no hacer nada y las nuevas proyecciones de luego de la cuarentena, asumiendo que no se implemente ninguna intervención adicional</w:t>
      </w:r>
      <w:r w:rsidR="00043864" w:rsidRPr="00843B2C">
        <w:rPr>
          <w:rFonts w:ascii="Times New Roman" w:hAnsi="Times New Roman" w:cs="Times New Roman"/>
          <w:lang w:val="es-ES"/>
        </w:rPr>
        <w:t>.</w:t>
      </w:r>
      <w:r w:rsidR="0097735C" w:rsidRPr="00843B2C">
        <w:rPr>
          <w:rFonts w:ascii="Times New Roman" w:hAnsi="Times New Roman" w:cs="Times New Roman"/>
          <w:lang w:val="es-ES"/>
        </w:rPr>
        <w:t xml:space="preserve"> </w:t>
      </w:r>
      <w:r w:rsidR="00105D52" w:rsidRPr="00843B2C">
        <w:rPr>
          <w:rFonts w:ascii="Times New Roman" w:hAnsi="Times New Roman" w:cs="Times New Roman"/>
          <w:lang w:val="es-ES"/>
        </w:rPr>
        <w:t>Para las estimaciones se utilizó l</w:t>
      </w:r>
      <w:r w:rsidR="00043864" w:rsidRPr="00843B2C">
        <w:rPr>
          <w:rFonts w:ascii="Times New Roman" w:hAnsi="Times New Roman" w:cs="Times New Roman"/>
          <w:lang w:val="es-ES"/>
        </w:rPr>
        <w:t>a población 2020 proyec</w:t>
      </w:r>
      <w:r w:rsidR="00105D52" w:rsidRPr="00843B2C">
        <w:rPr>
          <w:rFonts w:ascii="Times New Roman" w:hAnsi="Times New Roman" w:cs="Times New Roman"/>
          <w:lang w:val="es-ES"/>
        </w:rPr>
        <w:t xml:space="preserve">tada por el </w:t>
      </w:r>
      <w:r w:rsidR="00043864" w:rsidRPr="00843B2C">
        <w:rPr>
          <w:rFonts w:ascii="Times New Roman" w:hAnsi="Times New Roman" w:cs="Times New Roman"/>
          <w:lang w:val="es-ES"/>
        </w:rPr>
        <w:t>DANE</w:t>
      </w:r>
      <w:r w:rsidR="00CD2945" w:rsidRPr="00843B2C">
        <w:rPr>
          <w:rFonts w:ascii="Times New Roman" w:hAnsi="Times New Roman" w:cs="Times New Roman"/>
          <w:lang w:val="es-ES"/>
        </w:rPr>
        <w:t xml:space="preserve">  </w:t>
      </w:r>
      <w:r w:rsidR="00CD2945" w:rsidRPr="00843B2C">
        <w:rPr>
          <w:rFonts w:ascii="Times New Roman" w:hAnsi="Times New Roman" w:cs="Times New Roman"/>
          <w:lang w:val="es-ES"/>
        </w:rPr>
        <w:fldChar w:fldCharType="begin" w:fldLock="1"/>
      </w:r>
      <w:r w:rsidR="00AB0C5A" w:rsidRPr="00843B2C">
        <w:rPr>
          <w:rFonts w:ascii="Times New Roman" w:hAnsi="Times New Roman" w:cs="Times New Roman"/>
          <w:lang w:val="es-ES"/>
        </w:rPr>
        <w:instrText>ADDIN CSL_CITATION {"citationItems":[{"id":"ITEM-1","itemData":{"author":[{"dropping-particle":"","family":"Departamento Administrativo Nacional de Estadística DANE","given":"","non-dropping-particle":"","parse-names":false,"suffix":""}],"id":"ITEM-1","issued":{"date-parts":[["0"]]},"title":"Proyecciones de Poblaciòn 2018-2023","type":"webpage"},"uris":["http://www.mendeley.com/documents/?uuid=bbc7ad5b-7a64-460a-9a34-d696c1713d2d","http://www.mendeley.com/documents/?uuid=4720230f-ce52-41f2-8a38-07dcae9dceab"]}],"mendeley":{"formattedCitation":"(4)","plainTextFormattedCitation":"(4)","previouslyFormattedCitation":"(4)"},"properties":{"noteIndex":0},"schema":"https://github.com/citation-style-language/schema/raw/master/csl-citation.json"}</w:instrText>
      </w:r>
      <w:r w:rsidR="00CD2945" w:rsidRPr="00843B2C">
        <w:rPr>
          <w:rFonts w:ascii="Times New Roman" w:hAnsi="Times New Roman" w:cs="Times New Roman"/>
          <w:lang w:val="es-ES"/>
        </w:rPr>
        <w:fldChar w:fldCharType="separate"/>
      </w:r>
      <w:r w:rsidR="0089382F" w:rsidRPr="00843B2C">
        <w:rPr>
          <w:rFonts w:ascii="Times New Roman" w:hAnsi="Times New Roman" w:cs="Times New Roman"/>
          <w:noProof/>
          <w:lang w:val="es-ES"/>
        </w:rPr>
        <w:t>(4)</w:t>
      </w:r>
      <w:r w:rsidR="00CD2945" w:rsidRPr="00843B2C">
        <w:rPr>
          <w:rFonts w:ascii="Times New Roman" w:hAnsi="Times New Roman" w:cs="Times New Roman"/>
          <w:lang w:val="es-ES"/>
        </w:rPr>
        <w:fldChar w:fldCharType="end"/>
      </w:r>
      <w:r w:rsidR="0097735C" w:rsidRPr="00843B2C">
        <w:rPr>
          <w:rFonts w:ascii="Times New Roman" w:hAnsi="Times New Roman" w:cs="Times New Roman"/>
          <w:lang w:val="es-ES"/>
        </w:rPr>
        <w:t xml:space="preserve"> </w:t>
      </w:r>
      <w:r w:rsidR="00D01DFA">
        <w:rPr>
          <w:rFonts w:ascii="Times New Roman" w:hAnsi="Times New Roman" w:cs="Times New Roman"/>
          <w:lang w:val="es-ES"/>
        </w:rPr>
        <w:t>y</w:t>
      </w:r>
      <w:r w:rsidR="0097735C" w:rsidRPr="00843B2C">
        <w:rPr>
          <w:rFonts w:ascii="Times New Roman" w:hAnsi="Times New Roman" w:cs="Times New Roman"/>
          <w:lang w:val="es-ES"/>
        </w:rPr>
        <w:t xml:space="preserve"> la estimación del ajuste del R efectivo estimado en Colombia al 14 de abril</w:t>
      </w:r>
      <w:r w:rsidR="00043864" w:rsidRPr="00843B2C">
        <w:rPr>
          <w:rFonts w:ascii="Times New Roman" w:hAnsi="Times New Roman" w:cs="Times New Roman"/>
          <w:lang w:val="es-ES"/>
        </w:rPr>
        <w:t>.</w:t>
      </w:r>
    </w:p>
    <w:p w14:paraId="60DF2759" w14:textId="77777777" w:rsidR="00337B4C" w:rsidRPr="00843B2C" w:rsidRDefault="00337B4C" w:rsidP="00242686">
      <w:pPr>
        <w:spacing w:line="240" w:lineRule="auto"/>
        <w:contextualSpacing/>
        <w:jc w:val="both"/>
        <w:rPr>
          <w:rFonts w:ascii="Times New Roman" w:hAnsi="Times New Roman" w:cs="Times New Roman"/>
          <w:lang w:val="es-ES"/>
        </w:rPr>
      </w:pPr>
    </w:p>
    <w:p w14:paraId="2DA54C61" w14:textId="744B1E33" w:rsidR="00337B4C" w:rsidRPr="00843B2C" w:rsidRDefault="00337B4C" w:rsidP="00242686">
      <w:pPr>
        <w:spacing w:line="240" w:lineRule="auto"/>
        <w:contextualSpacing/>
        <w:jc w:val="both"/>
        <w:rPr>
          <w:rFonts w:ascii="Times New Roman" w:hAnsi="Times New Roman" w:cs="Times New Roman"/>
          <w:lang w:val="es-ES"/>
        </w:rPr>
      </w:pPr>
      <w:r w:rsidRPr="00843B2C">
        <w:rPr>
          <w:rFonts w:ascii="Times New Roman" w:hAnsi="Times New Roman" w:cs="Times New Roman"/>
          <w:lang w:val="es-ES"/>
        </w:rPr>
        <w:t>A continuación</w:t>
      </w:r>
      <w:r w:rsidR="0097735C" w:rsidRPr="00843B2C">
        <w:rPr>
          <w:rFonts w:ascii="Times New Roman" w:hAnsi="Times New Roman" w:cs="Times New Roman"/>
          <w:lang w:val="es-ES"/>
        </w:rPr>
        <w:t>,</w:t>
      </w:r>
      <w:r w:rsidRPr="00843B2C">
        <w:rPr>
          <w:rFonts w:ascii="Times New Roman" w:hAnsi="Times New Roman" w:cs="Times New Roman"/>
          <w:lang w:val="es-ES"/>
        </w:rPr>
        <w:t xml:space="preserve"> se presenta la información correspondiente a las estimaciones hechas para </w:t>
      </w:r>
      <w:r w:rsidR="006F140C" w:rsidRPr="00843B2C">
        <w:rPr>
          <w:rFonts w:ascii="Times New Roman" w:hAnsi="Times New Roman" w:cs="Times New Roman"/>
          <w:b/>
          <w:lang w:val="es-ES"/>
        </w:rPr>
        <w:t>Puerto Carreño</w:t>
      </w:r>
      <w:r w:rsidR="006F140C" w:rsidRPr="00843B2C">
        <w:rPr>
          <w:rFonts w:ascii="Times New Roman" w:hAnsi="Times New Roman" w:cs="Times New Roman"/>
          <w:lang w:val="es-ES"/>
        </w:rPr>
        <w:t xml:space="preserve"> a </w:t>
      </w:r>
      <w:r w:rsidRPr="00843B2C">
        <w:rPr>
          <w:rFonts w:ascii="Times New Roman" w:hAnsi="Times New Roman" w:cs="Times New Roman"/>
          <w:lang w:val="es-ES"/>
        </w:rPr>
        <w:t>partir del día de notificación del primer caso</w:t>
      </w:r>
      <w:r w:rsidR="00E17E29" w:rsidRPr="00843B2C">
        <w:rPr>
          <w:rFonts w:ascii="Times New Roman" w:hAnsi="Times New Roman" w:cs="Times New Roman"/>
          <w:lang w:val="es-ES"/>
        </w:rPr>
        <w:t>, considerando el escenario de no establecer medidas de control</w:t>
      </w:r>
      <w:r w:rsidR="0097735C" w:rsidRPr="00843B2C">
        <w:rPr>
          <w:rFonts w:ascii="Times New Roman" w:hAnsi="Times New Roman" w:cs="Times New Roman"/>
          <w:lang w:val="es-ES"/>
        </w:rPr>
        <w:t xml:space="preserve"> y el efecto de la cuarentena implementada entre el 25 de marzo y el 26 de </w:t>
      </w:r>
      <w:r w:rsidR="00D85482" w:rsidRPr="00843B2C">
        <w:rPr>
          <w:rFonts w:ascii="Times New Roman" w:hAnsi="Times New Roman" w:cs="Times New Roman"/>
          <w:lang w:val="es-ES"/>
        </w:rPr>
        <w:t>abril</w:t>
      </w:r>
      <w:r w:rsidR="00363136" w:rsidRPr="00843B2C">
        <w:rPr>
          <w:rFonts w:ascii="Times New Roman" w:hAnsi="Times New Roman" w:cs="Times New Roman"/>
          <w:lang w:val="es-ES"/>
        </w:rPr>
        <w:t>.</w:t>
      </w:r>
    </w:p>
    <w:p w14:paraId="6057381E" w14:textId="45DCE47F" w:rsidR="00AB7FCB" w:rsidRPr="00843B2C" w:rsidRDefault="00AB7FCB" w:rsidP="00242686">
      <w:pPr>
        <w:spacing w:line="240" w:lineRule="auto"/>
        <w:contextualSpacing/>
        <w:jc w:val="both"/>
        <w:rPr>
          <w:rFonts w:ascii="Times New Roman" w:hAnsi="Times New Roman" w:cs="Times New Roman"/>
          <w:lang w:val="es-ES"/>
        </w:rPr>
      </w:pPr>
    </w:p>
    <w:p w14:paraId="4636BDFE" w14:textId="19E51D2A" w:rsidR="00691CC1" w:rsidRPr="00843B2C" w:rsidRDefault="00691CC1" w:rsidP="00242686">
      <w:pPr>
        <w:spacing w:line="240" w:lineRule="auto"/>
        <w:contextualSpacing/>
        <w:jc w:val="both"/>
        <w:rPr>
          <w:rFonts w:ascii="Times New Roman" w:hAnsi="Times New Roman" w:cs="Times New Roman"/>
          <w:b/>
          <w:bCs/>
          <w:lang w:val="es-ES"/>
        </w:rPr>
      </w:pPr>
      <w:r w:rsidRPr="00843B2C">
        <w:rPr>
          <w:rFonts w:ascii="Times New Roman" w:hAnsi="Times New Roman" w:cs="Times New Roman"/>
          <w:b/>
          <w:bCs/>
          <w:lang w:val="es-ES"/>
        </w:rPr>
        <w:t>Parámetros del modelo</w:t>
      </w:r>
      <w:r w:rsidR="004E376B">
        <w:rPr>
          <w:rFonts w:ascii="Times New Roman" w:hAnsi="Times New Roman" w:cs="Times New Roman"/>
          <w:b/>
          <w:bCs/>
          <w:lang w:val="es-ES"/>
        </w:rPr>
        <w:t xml:space="preserve"> en el caso base</w:t>
      </w:r>
    </w:p>
    <w:p w14:paraId="61738D9A" w14:textId="159977BE" w:rsidR="00691CC1" w:rsidRPr="00843B2C" w:rsidRDefault="00691CC1" w:rsidP="00242686">
      <w:pPr>
        <w:spacing w:line="240" w:lineRule="auto"/>
        <w:contextualSpacing/>
        <w:jc w:val="both"/>
        <w:rPr>
          <w:rFonts w:ascii="Times New Roman" w:hAnsi="Times New Roman" w:cs="Times New Roman"/>
          <w:lang w:val="es-ES"/>
        </w:rPr>
      </w:pPr>
    </w:p>
    <w:tbl>
      <w:tblPr>
        <w:tblStyle w:val="Tablaconcuadrcula"/>
        <w:tblW w:w="0" w:type="auto"/>
        <w:tblLook w:val="04A0" w:firstRow="1" w:lastRow="0" w:firstColumn="1" w:lastColumn="0" w:noHBand="0" w:noVBand="1"/>
      </w:tblPr>
      <w:tblGrid>
        <w:gridCol w:w="2178"/>
        <w:gridCol w:w="2160"/>
        <w:gridCol w:w="3260"/>
        <w:gridCol w:w="1230"/>
      </w:tblGrid>
      <w:tr w:rsidR="00691CC1" w:rsidRPr="00843B2C" w14:paraId="28F90067" w14:textId="77777777" w:rsidTr="00487FCB">
        <w:tc>
          <w:tcPr>
            <w:tcW w:w="2207" w:type="dxa"/>
          </w:tcPr>
          <w:p w14:paraId="222CDD35" w14:textId="0986137F" w:rsidR="00691CC1" w:rsidRPr="00843B2C" w:rsidRDefault="00691CC1" w:rsidP="00487FCB">
            <w:pPr>
              <w:jc w:val="both"/>
              <w:rPr>
                <w:rFonts w:ascii="Times New Roman" w:hAnsi="Times New Roman" w:cs="Times New Roman"/>
                <w:b/>
                <w:bCs/>
                <w:lang w:val="es-ES"/>
              </w:rPr>
            </w:pPr>
            <w:r w:rsidRPr="00843B2C">
              <w:rPr>
                <w:rFonts w:ascii="Times New Roman" w:hAnsi="Times New Roman" w:cs="Times New Roman"/>
                <w:b/>
                <w:bCs/>
                <w:lang w:val="es-ES"/>
              </w:rPr>
              <w:t>Parámetro</w:t>
            </w:r>
          </w:p>
        </w:tc>
        <w:tc>
          <w:tcPr>
            <w:tcW w:w="2207" w:type="dxa"/>
          </w:tcPr>
          <w:p w14:paraId="2E2EFC91" w14:textId="77777777" w:rsidR="00691CC1" w:rsidRPr="00843B2C" w:rsidRDefault="00691CC1" w:rsidP="00487FCB">
            <w:pPr>
              <w:jc w:val="both"/>
              <w:rPr>
                <w:rFonts w:ascii="Times New Roman" w:hAnsi="Times New Roman" w:cs="Times New Roman"/>
                <w:b/>
                <w:bCs/>
                <w:lang w:val="es-ES"/>
              </w:rPr>
            </w:pPr>
            <w:r w:rsidRPr="00843B2C">
              <w:rPr>
                <w:rFonts w:ascii="Times New Roman" w:hAnsi="Times New Roman" w:cs="Times New Roman"/>
                <w:b/>
                <w:bCs/>
                <w:lang w:val="es-ES"/>
              </w:rPr>
              <w:t>Valor IC (95%)</w:t>
            </w:r>
          </w:p>
        </w:tc>
        <w:tc>
          <w:tcPr>
            <w:tcW w:w="3321" w:type="dxa"/>
          </w:tcPr>
          <w:p w14:paraId="5B9C16FF" w14:textId="77777777" w:rsidR="00691CC1" w:rsidRPr="00843B2C" w:rsidRDefault="00691CC1" w:rsidP="00487FCB">
            <w:pPr>
              <w:jc w:val="both"/>
              <w:rPr>
                <w:rFonts w:ascii="Times New Roman" w:hAnsi="Times New Roman" w:cs="Times New Roman"/>
                <w:b/>
                <w:bCs/>
                <w:lang w:val="es-ES"/>
              </w:rPr>
            </w:pPr>
            <w:r w:rsidRPr="00843B2C">
              <w:rPr>
                <w:rFonts w:ascii="Times New Roman" w:hAnsi="Times New Roman" w:cs="Times New Roman"/>
                <w:b/>
                <w:bCs/>
                <w:lang w:val="es-ES"/>
              </w:rPr>
              <w:t>Incertidumbre</w:t>
            </w:r>
          </w:p>
        </w:tc>
        <w:tc>
          <w:tcPr>
            <w:tcW w:w="1093" w:type="dxa"/>
          </w:tcPr>
          <w:p w14:paraId="0E2B2A0D" w14:textId="2E40CF63" w:rsidR="00691CC1" w:rsidRPr="00843B2C" w:rsidRDefault="00691CC1" w:rsidP="00487FCB">
            <w:pPr>
              <w:jc w:val="both"/>
              <w:rPr>
                <w:rFonts w:ascii="Times New Roman" w:hAnsi="Times New Roman" w:cs="Times New Roman"/>
                <w:b/>
                <w:bCs/>
                <w:lang w:val="es-ES"/>
              </w:rPr>
            </w:pPr>
            <w:r w:rsidRPr="00843B2C">
              <w:rPr>
                <w:rFonts w:ascii="Times New Roman" w:hAnsi="Times New Roman" w:cs="Times New Roman"/>
                <w:b/>
                <w:bCs/>
                <w:lang w:val="es-ES"/>
              </w:rPr>
              <w:t>Referencia</w:t>
            </w:r>
          </w:p>
        </w:tc>
      </w:tr>
      <w:tr w:rsidR="00691CC1" w:rsidRPr="00843B2C" w14:paraId="3500CB00" w14:textId="77777777" w:rsidTr="00487FCB">
        <w:tc>
          <w:tcPr>
            <w:tcW w:w="2207" w:type="dxa"/>
          </w:tcPr>
          <w:p w14:paraId="7391346D" w14:textId="77777777"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t>Numero básico de reproducción (R0):</w:t>
            </w:r>
          </w:p>
        </w:tc>
        <w:tc>
          <w:tcPr>
            <w:tcW w:w="2207" w:type="dxa"/>
          </w:tcPr>
          <w:p w14:paraId="24951E9A" w14:textId="77777777"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t>2,28 (2,06-2,52)</w:t>
            </w:r>
          </w:p>
        </w:tc>
        <w:tc>
          <w:tcPr>
            <w:tcW w:w="3321" w:type="dxa"/>
          </w:tcPr>
          <w:p w14:paraId="07C3CE18" w14:textId="77777777"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t>Distribución normal (media 2,28, desviación estándar = 0,11735)</w:t>
            </w:r>
          </w:p>
        </w:tc>
        <w:tc>
          <w:tcPr>
            <w:tcW w:w="1093" w:type="dxa"/>
          </w:tcPr>
          <w:p w14:paraId="7DC62184" w14:textId="38946D69"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fldChar w:fldCharType="begin" w:fldLock="1"/>
            </w:r>
            <w:r w:rsidR="00AB0C5A" w:rsidRPr="00843B2C">
              <w:rPr>
                <w:rFonts w:ascii="Times New Roman" w:hAnsi="Times New Roman" w:cs="Times New Roman"/>
                <w:lang w:val="es-ES"/>
              </w:rPr>
              <w:instrText>ADDIN CSL_CITATION {"citationItems":[{"id":"ITEM-1","itemData":{"DOI":"10.1016/j.ijid.2020.02.033","ISSN":"1201-9712","author":[{"dropping-particle":"","family":"Zhang","given":"Sheng","non-dropping-particle":"","parse-names":false,"suffix":""},{"dropping-particle":"","family":"Diao","given":"Mengyuan","non-dropping-particle":"","parse-names":false,"suffix":""},{"dropping-particle":"","family":"Yu","given":"Wenbo","non-dropping-particle":"","parse-names":false,"suffix":""},{"dropping-particle":"","family":"Pei","given":"Lei","non-dropping-particle":"","parse-names":false,"suffix":""},{"dropping-particle":"","family":"Lin","given":"Zhaofen","non-dropping-particle":"","parse-names":false,"suffix":""},{"dropping-particle":"","family":"Chen","given":"Dechang","non-dropping-particle":"","parse-names":false,"suffix":""}],"container-title":"International Journal of Infectious Diseases","id":"ITEM-1","issued":{"date-parts":[["2020"]]},"page":"1-9","publisher":"International Society for Infectious Diseases","title":"Estimation of the reproductive number of Novel Coronavirus (COVID-19) and the probable outbreak size on the Diamond Princess cruise ship: A data-driven analysis","type":"article-journal"},"uris":["http://www.mendeley.com/documents/?uuid=f0c779c0-5f73-4c23-969f-d26f4a3330df"]}],"mendeley":{"formattedCitation":"(3)","plainTextFormattedCitation":"(3)","previouslyFormattedCitation":"(3)"},"properties":{"noteIndex":0},"schema":"https://github.com/citation-style-language/schema/raw/master/csl-citation.json"}</w:instrText>
            </w:r>
            <w:r w:rsidRPr="00843B2C">
              <w:rPr>
                <w:rFonts w:ascii="Times New Roman" w:hAnsi="Times New Roman" w:cs="Times New Roman"/>
                <w:lang w:val="es-ES"/>
              </w:rPr>
              <w:fldChar w:fldCharType="separate"/>
            </w:r>
            <w:r w:rsidR="0089382F" w:rsidRPr="00843B2C">
              <w:rPr>
                <w:rFonts w:ascii="Times New Roman" w:hAnsi="Times New Roman" w:cs="Times New Roman"/>
                <w:noProof/>
                <w:lang w:val="es-ES"/>
              </w:rPr>
              <w:t>(3)</w:t>
            </w:r>
            <w:r w:rsidRPr="00843B2C">
              <w:rPr>
                <w:rFonts w:ascii="Times New Roman" w:hAnsi="Times New Roman" w:cs="Times New Roman"/>
                <w:lang w:val="es-ES"/>
              </w:rPr>
              <w:fldChar w:fldCharType="end"/>
            </w:r>
          </w:p>
        </w:tc>
      </w:tr>
      <w:tr w:rsidR="00691CC1" w:rsidRPr="00843B2C" w14:paraId="0EC97194" w14:textId="77777777" w:rsidTr="00487FCB">
        <w:tc>
          <w:tcPr>
            <w:tcW w:w="2207" w:type="dxa"/>
          </w:tcPr>
          <w:p w14:paraId="04414274" w14:textId="77777777"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t>Duración del periodo infeccioso</w:t>
            </w:r>
          </w:p>
        </w:tc>
        <w:tc>
          <w:tcPr>
            <w:tcW w:w="2207" w:type="dxa"/>
          </w:tcPr>
          <w:p w14:paraId="569F0C9E" w14:textId="77777777"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t>5,8 días (IC 95% 4,3-7,5 días)</w:t>
            </w:r>
          </w:p>
        </w:tc>
        <w:tc>
          <w:tcPr>
            <w:tcW w:w="3321" w:type="dxa"/>
          </w:tcPr>
          <w:p w14:paraId="2EB3F73F" w14:textId="77777777"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t>Distribución uniforme entre 5-7</w:t>
            </w:r>
          </w:p>
        </w:tc>
        <w:tc>
          <w:tcPr>
            <w:tcW w:w="1093" w:type="dxa"/>
          </w:tcPr>
          <w:p w14:paraId="4920EA4D" w14:textId="4FB5907A"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fldChar w:fldCharType="begin" w:fldLock="1"/>
            </w:r>
            <w:r w:rsidR="00AB0C5A" w:rsidRPr="00843B2C">
              <w:rPr>
                <w:rFonts w:ascii="Times New Roman" w:hAnsi="Times New Roman" w:cs="Times New Roman"/>
                <w:lang w:val="es-ES"/>
              </w:rPr>
              <w:instrText>ADDIN CSL_CITATION {"citationItems":[{"id":"ITEM-1","itemData":{"DOI":"10.1101/2020.01.19.911669","abstract":"As reported by the World Health Organization, a novel coronavirus (2019-nCoV) was identified as the causative virus of Wuhan pneumonia of unknown etiology by Chinese authorities on 7 January, 2020. In this study, we developed a Bats-Hosts-Reservoir-People transmission network model for simulating the potential transmission from the infection source (probable be bats) to the human infection. Since the Bats-Hosts-Reservoir network was hard to explore clearly and public concerns were focusing on the transmission from a seafood market (reservoir) to people, we simplified the model as Reservoir-People transmission network model. The basic reproduction number ( R ) was calculated from the RP model to assess the transmissibility of the 2019-nCoV.","author":[{"dropping-particle":"","family":"Chen","given":"Tianmu","non-dropping-particle":"","parse-names":false,"suffix":""},{"dropping-particle":"","family":"Rui","given":"Jia","non-dropping-particle":"","parse-names":false,"suffix":""},{"dropping-particle":"","family":"Wang","given":"Qiupeng","non-dropping-particle":"","parse-names":false,"suffix":""},{"dropping-particle":"","family":"Zhao","given":"Zeyu","non-dropping-particle":"","parse-names":false,"suffix":""},{"dropping-particle":"","family":"Cui","given":"Jing-An","non-dropping-particle":"","parse-names":false,"suffix":""},{"dropping-particle":"","family":"Yin","given":"Ling","non-dropping-particle":"","parse-names":false,"suffix":""}],"container-title":"Infectious Diseases of Poverty","id":"ITEM-1","issue":"24","issued":{"date-parts":[["2020"]]},"page":"1-8","publisher":"Infectious Diseases of Poverty","title":"A mathematical model for simulating the transmission of Wuhan novel Coronavirus","type":"article-journal","volume":"9"},"uris":["http://www.mendeley.com/documents/?uuid=998d17c4-2844-4da0-9c0e-71caf8523b85"]}],"mendeley":{"formattedCitation":"(5)","plainTextFormattedCitation":"(5)","previouslyFormattedCitation":"(5)"},"properties":{"noteIndex":0},"schema":"https://github.com/citation-style-language/schema/raw/master/csl-citation.json"}</w:instrText>
            </w:r>
            <w:r w:rsidRPr="00843B2C">
              <w:rPr>
                <w:rFonts w:ascii="Times New Roman" w:hAnsi="Times New Roman" w:cs="Times New Roman"/>
                <w:lang w:val="es-ES"/>
              </w:rPr>
              <w:fldChar w:fldCharType="separate"/>
            </w:r>
            <w:r w:rsidR="0089382F" w:rsidRPr="00843B2C">
              <w:rPr>
                <w:rFonts w:ascii="Times New Roman" w:hAnsi="Times New Roman" w:cs="Times New Roman"/>
                <w:noProof/>
                <w:lang w:val="es-ES"/>
              </w:rPr>
              <w:t>(5)</w:t>
            </w:r>
            <w:r w:rsidRPr="00843B2C">
              <w:rPr>
                <w:rFonts w:ascii="Times New Roman" w:hAnsi="Times New Roman" w:cs="Times New Roman"/>
                <w:lang w:val="es-ES"/>
              </w:rPr>
              <w:fldChar w:fldCharType="end"/>
            </w:r>
          </w:p>
        </w:tc>
      </w:tr>
      <w:tr w:rsidR="00691CC1" w:rsidRPr="00843B2C" w14:paraId="5EAAFEE0" w14:textId="77777777" w:rsidTr="00487FCB">
        <w:tc>
          <w:tcPr>
            <w:tcW w:w="2207" w:type="dxa"/>
          </w:tcPr>
          <w:p w14:paraId="6116F9EE" w14:textId="77777777"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t>Letalidad de todos los casos</w:t>
            </w:r>
          </w:p>
        </w:tc>
        <w:tc>
          <w:tcPr>
            <w:tcW w:w="2207" w:type="dxa"/>
          </w:tcPr>
          <w:p w14:paraId="497EFE05" w14:textId="77777777"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t>1,14% (1.00-1.30%)</w:t>
            </w:r>
          </w:p>
        </w:tc>
        <w:tc>
          <w:tcPr>
            <w:tcW w:w="3321" w:type="dxa"/>
          </w:tcPr>
          <w:p w14:paraId="27E3E880" w14:textId="77777777"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t>Distribución Beta (media = 1,14, DE = 0,76%)</w:t>
            </w:r>
          </w:p>
        </w:tc>
        <w:tc>
          <w:tcPr>
            <w:tcW w:w="1093" w:type="dxa"/>
          </w:tcPr>
          <w:p w14:paraId="6D5B3271" w14:textId="5E271647"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fldChar w:fldCharType="begin" w:fldLock="1"/>
            </w:r>
            <w:r w:rsidR="00AB0C5A" w:rsidRPr="00843B2C">
              <w:rPr>
                <w:rFonts w:ascii="Times New Roman" w:hAnsi="Times New Roman" w:cs="Times New Roman"/>
                <w:lang w:val="es-ES"/>
              </w:rPr>
              <w:instrText>ADDIN CSL_CITATION {"citationItems":[{"id":"ITEM-1","itemData":{"DOI":"10.1101/2020.03.09.20033357","abstract":"Background: A range of case fatality ratio (CFR) estimates for COVID 19 have been produced that differ substantially in magnitude. Methods: We used individual-case data from mainland China and cases detected outside mainland China to estimate the time between onset of symptoms and outcome (death or discharge from hospital). We next obtained age-stratified estimates of the CFR by relating the aggregate distribution of cases by dates of onset to the observed cumulative deaths in China, assuming a constant attack rate by age and adjusting for the demography of the population, and age and location-based under ascertainment. We additionally estimated the CFR from individual linelist data on 1,334 cases identified outside mainland China. We used data on the PCR prevalence in international residents repatriated from China at the end of January 2020 to obtain age-stratified estimates of the infection fatality ratio (IFR). Using data on age stratified severity in a subset of 3,665 cases from China, we estimated the proportion of infections that will likely require hospitalisation. Findings: We estimate the mean duration from onset-of-symptoms to death to be 17.8 days (95% credible interval, crI 16.9,19.2 days) and from onset-of-symptoms to hospital discharge to be 22.6 days (95% crI 21.1,24.4 days). We estimate a crude CFR of 3.67% (95% crI 3.56%,3.80%) in cases from mainland China. Adjusting for demography and under-ascertainment of milder cases in Wuhan relative to the rest of China, we obtain a best estimate of the CFR in China of 1.38% (95% crI 1.23%,1.53%) with substantially higher values in older ages. Our estimate of the CFR from international cases stratified by age (under 60 or 60 and above) are consistent with these estimates from China. We obtain an overall IFR estimate for China of 0.66% (0.39%,1.33%), again with an increasing profile with age. Interpretation: These early estimates give an indication of the fatality ratio across the spectrum of COVID-19 disease and demonstrate a strong age-gradient in risk.\n\n### Competing Interest Statement\n\nThe authors have declared no competing interest.\n\n### Funding Statement\n\nThis work was supported by Centre funding from the UK Medical Research Council under a concordat with the UK Department for International Development, the NIHR Health Protection Research Unit in Modelling Methodology and the Abdul Latif Jameel Foundation. \n\n### Author Declarations\n\nAll relevant ethical guidelines have been followed; any nece…","author":[{"dropping-particle":"","family":"Verity","given":"Robert","non-dropping-particle":"","parse-names":false,"suffix":""},{"dropping-particle":"","family":"Okell","given":"Lucy C","non-dropping-particle":"","parse-names":false,"suffix":""},{"dropping-particle":"","family":"Dorigatti","given":"Ilaria","non-dropping-particle":"","parse-names":false,"suffix":""},{"dropping-particle":"","family":"Winskill","given":"Peter","non-dropping-particle":"","parse-names":false,"suffix":""},{"dropping-particle":"","family":"Whittaker","given":"Charles","non-dropping-particle":"","parse-names":false,"suffix":""},{"dropping-particle":"","family":"Imai","given":"Natsuko","non-dropping-particle":"","parse-names":false,"suffix":""},{"dropping-particle":"","family":"Cuomo-Dannenburg","given":"Gina","non-dropping-particle":"","parse-names":false,"suffix":""},{"dropping-particle":"","family":"Thompson","given":"Hayley","non-dropping-particle":"","parse-names":false,"suffix":""},{"dropping-particle":"","family":"Walker","given":"Patrick","non-dropping-particle":"","parse-names":false,"suffix":""},{"dropping-particle":"","family":"Fu","given":"Han","non-dropping-particle":"","parse-names":false,"suffix":""},{"dropping-particle":"","family":"Dighe","given":"Amy","non-dropping-particle":"","parse-names":false,"suffix":""},{"dropping-particle":"","family":"Griffin","given":"Jamie","non-dropping-particle":"","parse-names":false,"suffix":""},{"dropping-particle":"","family":"Cori","given":"Anne","non-dropping-particle":"","parse-names":false,"suffix":""},{"dropping-particle":"","family":"Baguelin","given":"Marc","non-dropping-particle":"","parse-names":false,"suffix":""},{"dropping-particle":"","family":"Bhatia","given":"Sangeeta","non-dropping-particle":"","parse-names":false,"suffix":""},{"dropping-particle":"","family":"Boonyasiri","given":"Adhiratha","non-dropping-particle":"","parse-names":false,"suffix":""},{"dropping-particle":"","family":"Cucunuba","given":"Zulma M","non-dropping-particle":"","parse-names":false,"suffix":""},{"dropping-particle":"","family":"Fitzjohn","given":"Rich","non-dropping-particle":"","parse-names":false,"suffix":""},{"dropping-particle":"","family":"Gaythorpe","given":"Katy A M","non-dropping-particle":"","parse-names":false,"suffix":""},{"dropping-particle":"","family":"Green","given":"Will","non-dropping-particle":"","parse-names":false,"suffix":""},{"dropping-particle":"","family":"Hamlet","given":"Arran","non-dropping-particle":"","parse-names":false,"suffix":""},{"dropping-particle":"","family":"Hinsley","given":"Wes","non-dropping-particle":"","parse-names":false,"suffix":""},{"dropping-particle":"","family":"Laydon","given":"Daniel","non-dropping-particle":"","parse-names":false,"suffix":""},{"dropping-particle":"","family":"Nedjati-Gilani","given":"Gemma","non-dropping-particle":"","parse-names":false,"suffix":""},{"dropping-particle":"","family":"Riley","given":"Steven","non-dropping-particle":"","parse-names":false,"suffix":""},{"dropping-particle":"","family":"van-Elsand","given":"Sabine","non-dropping-particle":"","parse-names":false,"suffix":""},{"dropping-particle":"","family":"Volz","given":"Erik","non-dropping-particle":"","parse-names":false,"suffix":""},{"dropping-particle":"","family":"Wang","given":"Haowei","non-dropping-particle":"","parse-names":false,"suffix":""},{"dropping-particle":"","family":"Wang","given":"Yuanrong","non-dropping-particle":"","parse-names":false,"suffix":""},{"dropping-particle":"","family":"Xi","given":"Xiayoue","non-dropping-particle":"","parse-names":false,"suffix":""},{"dropping-particle":"","family":"Donnelly","given":"Christl","non-dropping-particle":"","parse-names":false,"suffix":""},{"dropping-particle":"","family":"Ghani","given":"Azra","non-dropping-particle":"","parse-names":false,"suffix":""},{"dropping-particle":"","family":"Ferguson","given":"Neil","non-dropping-particle":"","parse-names":false,"suffix":""}],"container-title":"medRxiv","id":"ITEM-1","issued":{"date-parts":[["2020"]]},"page":"2020.03.09.20033357","title":"Estimates of the severity of COVID-19 disease","type":"article-journal"},"uris":["http://www.mendeley.com/documents/?uuid=5f301ab0-2352-4e60-ad97-4f6cc3567505"]}],"mendeley":{"formattedCitation":"(6)","plainTextFormattedCitation":"(6)","previouslyFormattedCitation":"(6)"},"properties":{"noteIndex":0},"schema":"https://github.com/citation-style-language/schema/raw/master/csl-citation.json"}</w:instrText>
            </w:r>
            <w:r w:rsidRPr="00843B2C">
              <w:rPr>
                <w:rFonts w:ascii="Times New Roman" w:hAnsi="Times New Roman" w:cs="Times New Roman"/>
                <w:lang w:val="es-ES"/>
              </w:rPr>
              <w:fldChar w:fldCharType="separate"/>
            </w:r>
            <w:r w:rsidR="0089382F" w:rsidRPr="00843B2C">
              <w:rPr>
                <w:rFonts w:ascii="Times New Roman" w:hAnsi="Times New Roman" w:cs="Times New Roman"/>
                <w:noProof/>
                <w:lang w:val="es-ES"/>
              </w:rPr>
              <w:t>(6)</w:t>
            </w:r>
            <w:r w:rsidRPr="00843B2C">
              <w:rPr>
                <w:rFonts w:ascii="Times New Roman" w:hAnsi="Times New Roman" w:cs="Times New Roman"/>
                <w:lang w:val="es-ES"/>
              </w:rPr>
              <w:fldChar w:fldCharType="end"/>
            </w:r>
          </w:p>
        </w:tc>
      </w:tr>
    </w:tbl>
    <w:p w14:paraId="07F14229" w14:textId="77777777" w:rsidR="00691CC1" w:rsidRPr="00843B2C" w:rsidRDefault="00691CC1" w:rsidP="00242686">
      <w:pPr>
        <w:spacing w:line="240" w:lineRule="auto"/>
        <w:contextualSpacing/>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2198"/>
        <w:gridCol w:w="1307"/>
        <w:gridCol w:w="4065"/>
        <w:gridCol w:w="1258"/>
      </w:tblGrid>
      <w:tr w:rsidR="00691CC1" w:rsidRPr="00843B2C" w14:paraId="5F560E64" w14:textId="77777777" w:rsidTr="00691CC1">
        <w:tc>
          <w:tcPr>
            <w:tcW w:w="2198" w:type="dxa"/>
          </w:tcPr>
          <w:p w14:paraId="1FAC0A90" w14:textId="77777777" w:rsidR="00691CC1" w:rsidRPr="00843B2C" w:rsidRDefault="00691CC1" w:rsidP="00487FCB">
            <w:pPr>
              <w:jc w:val="both"/>
              <w:rPr>
                <w:rFonts w:ascii="Times New Roman" w:hAnsi="Times New Roman" w:cs="Times New Roman"/>
                <w:b/>
                <w:lang w:val="es-ES"/>
              </w:rPr>
            </w:pPr>
            <w:r w:rsidRPr="00843B2C">
              <w:rPr>
                <w:rFonts w:ascii="Times New Roman" w:hAnsi="Times New Roman" w:cs="Times New Roman"/>
                <w:b/>
                <w:lang w:val="es-ES"/>
              </w:rPr>
              <w:t>Parámetro</w:t>
            </w:r>
          </w:p>
        </w:tc>
        <w:tc>
          <w:tcPr>
            <w:tcW w:w="1307" w:type="dxa"/>
          </w:tcPr>
          <w:p w14:paraId="6889EEEB" w14:textId="001758F1" w:rsidR="00691CC1" w:rsidRPr="00843B2C" w:rsidRDefault="00691CC1" w:rsidP="00487FCB">
            <w:pPr>
              <w:spacing w:after="160"/>
              <w:jc w:val="both"/>
              <w:rPr>
                <w:rFonts w:ascii="Times New Roman" w:hAnsi="Times New Roman" w:cs="Times New Roman"/>
                <w:b/>
                <w:lang w:val="es-ES"/>
              </w:rPr>
            </w:pPr>
            <w:r w:rsidRPr="00843B2C">
              <w:rPr>
                <w:rFonts w:ascii="Times New Roman" w:hAnsi="Times New Roman" w:cs="Times New Roman"/>
                <w:b/>
                <w:lang w:val="es-ES"/>
              </w:rPr>
              <w:t xml:space="preserve">Porcentaje </w:t>
            </w:r>
          </w:p>
        </w:tc>
        <w:tc>
          <w:tcPr>
            <w:tcW w:w="4065" w:type="dxa"/>
          </w:tcPr>
          <w:p w14:paraId="0E9F9A52" w14:textId="77777777" w:rsidR="00691CC1" w:rsidRPr="00843B2C" w:rsidRDefault="00691CC1" w:rsidP="00487FCB">
            <w:pPr>
              <w:spacing w:after="160"/>
              <w:jc w:val="both"/>
              <w:rPr>
                <w:rFonts w:ascii="Times New Roman" w:hAnsi="Times New Roman" w:cs="Times New Roman"/>
                <w:b/>
                <w:lang w:val="es-ES"/>
              </w:rPr>
            </w:pPr>
            <w:r w:rsidRPr="00843B2C">
              <w:rPr>
                <w:rFonts w:ascii="Times New Roman" w:hAnsi="Times New Roman" w:cs="Times New Roman"/>
                <w:b/>
                <w:lang w:val="es-ES"/>
              </w:rPr>
              <w:t>Definición operativa</w:t>
            </w:r>
          </w:p>
        </w:tc>
        <w:tc>
          <w:tcPr>
            <w:tcW w:w="1258" w:type="dxa"/>
          </w:tcPr>
          <w:p w14:paraId="1BEFF350" w14:textId="77777777" w:rsidR="00691CC1" w:rsidRPr="00843B2C" w:rsidRDefault="00691CC1" w:rsidP="00487FCB">
            <w:pPr>
              <w:spacing w:after="160"/>
              <w:jc w:val="both"/>
              <w:rPr>
                <w:rFonts w:ascii="Times New Roman" w:hAnsi="Times New Roman" w:cs="Times New Roman"/>
                <w:b/>
                <w:lang w:val="es-ES"/>
              </w:rPr>
            </w:pPr>
            <w:r w:rsidRPr="00843B2C">
              <w:rPr>
                <w:rFonts w:ascii="Times New Roman" w:hAnsi="Times New Roman" w:cs="Times New Roman"/>
                <w:b/>
                <w:lang w:val="es-ES"/>
              </w:rPr>
              <w:t>Referencia</w:t>
            </w:r>
          </w:p>
        </w:tc>
      </w:tr>
      <w:tr w:rsidR="00691CC1" w:rsidRPr="00843B2C" w14:paraId="3E408212" w14:textId="77777777" w:rsidTr="00691CC1">
        <w:tc>
          <w:tcPr>
            <w:tcW w:w="2198" w:type="dxa"/>
          </w:tcPr>
          <w:p w14:paraId="48E86F24" w14:textId="77777777"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t>Proporción asintomáticos</w:t>
            </w:r>
          </w:p>
        </w:tc>
        <w:tc>
          <w:tcPr>
            <w:tcW w:w="1307" w:type="dxa"/>
          </w:tcPr>
          <w:p w14:paraId="4D600E19" w14:textId="1ABBD564"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t xml:space="preserve">11,1% </w:t>
            </w:r>
          </w:p>
        </w:tc>
        <w:tc>
          <w:tcPr>
            <w:tcW w:w="4065" w:type="dxa"/>
          </w:tcPr>
          <w:p w14:paraId="7909ADB8" w14:textId="77777777"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t>Asintomáticos sobre el total de infectados</w:t>
            </w:r>
          </w:p>
        </w:tc>
        <w:tc>
          <w:tcPr>
            <w:tcW w:w="1258" w:type="dxa"/>
          </w:tcPr>
          <w:p w14:paraId="035A677B" w14:textId="4337DE1E"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fldChar w:fldCharType="begin" w:fldLock="1"/>
            </w:r>
            <w:r w:rsidR="00AB0C5A" w:rsidRPr="00843B2C">
              <w:rPr>
                <w:rFonts w:ascii="Times New Roman" w:hAnsi="Times New Roman" w:cs="Times New Roman"/>
                <w:lang w:val="es-ES"/>
              </w:rPr>
              <w:instrText>ADDIN CSL_CITATION {"citationItems":[{"id":"ITEM-1","itemData":{"URL":"https://www.mhlw.go.jp/stf/seisakunitsuite/bunya/newpage_00032.html","author":[{"dropping-particle":"","family":"Ministry of Health Labour and Welfare","given":"","non-dropping-particle":"","parse-names":false,"suffix":""}],"id":"ITEM-1","issued":{"date-parts":[["2020"]]},"title":"About Coronavirus Disease 2019 (COVID-19)","type":"webpage"},"uris":["http://www.mendeley.com/documents/?uuid=cdbcab35-8c1c-39b1-98dd-9e9cbac6e8e6","http://www.mendeley.com/documents/?uuid=7d7cad97-98a8-49cc-ba42-afd99c1cdc2a","http://www.mendeley.com/documents/?uuid=ae32c8ec-3dde-4e20-b603-e565272df0a2"]}],"mendeley":{"formattedCitation":"(7)","plainTextFormattedCitation":"(7)","previouslyFormattedCitation":"(7)"},"properties":{"noteIndex":0},"schema":"https://github.com/citation-style-language/schema/raw/master/csl-citation.json"}</w:instrText>
            </w:r>
            <w:r w:rsidRPr="00843B2C">
              <w:rPr>
                <w:rFonts w:ascii="Times New Roman" w:hAnsi="Times New Roman" w:cs="Times New Roman"/>
                <w:lang w:val="es-ES"/>
              </w:rPr>
              <w:fldChar w:fldCharType="separate"/>
            </w:r>
            <w:r w:rsidR="0089382F" w:rsidRPr="00843B2C">
              <w:rPr>
                <w:rFonts w:ascii="Times New Roman" w:hAnsi="Times New Roman" w:cs="Times New Roman"/>
                <w:noProof/>
                <w:lang w:val="es-ES"/>
              </w:rPr>
              <w:t>(7)</w:t>
            </w:r>
            <w:r w:rsidRPr="00843B2C">
              <w:rPr>
                <w:rFonts w:ascii="Times New Roman" w:hAnsi="Times New Roman" w:cs="Times New Roman"/>
                <w:lang w:val="es-ES"/>
              </w:rPr>
              <w:fldChar w:fldCharType="end"/>
            </w:r>
          </w:p>
        </w:tc>
      </w:tr>
      <w:tr w:rsidR="00691CC1" w:rsidRPr="00843B2C" w14:paraId="1E1DF995" w14:textId="77777777" w:rsidTr="00691CC1">
        <w:tc>
          <w:tcPr>
            <w:tcW w:w="8828" w:type="dxa"/>
            <w:gridSpan w:val="4"/>
          </w:tcPr>
          <w:p w14:paraId="0F1B1C6B" w14:textId="65A8170C"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t>Distribución entre sintomáticos</w:t>
            </w:r>
          </w:p>
        </w:tc>
      </w:tr>
      <w:tr w:rsidR="00691CC1" w:rsidRPr="00843B2C" w14:paraId="004A4923" w14:textId="77777777" w:rsidTr="00691CC1">
        <w:tc>
          <w:tcPr>
            <w:tcW w:w="2198" w:type="dxa"/>
          </w:tcPr>
          <w:p w14:paraId="5864A764" w14:textId="77777777"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t>Proporción casos leves *</w:t>
            </w:r>
          </w:p>
        </w:tc>
        <w:tc>
          <w:tcPr>
            <w:tcW w:w="1307" w:type="dxa"/>
          </w:tcPr>
          <w:p w14:paraId="668811CE" w14:textId="77777777"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t>81,4 %</w:t>
            </w:r>
          </w:p>
        </w:tc>
        <w:tc>
          <w:tcPr>
            <w:tcW w:w="4065" w:type="dxa"/>
          </w:tcPr>
          <w:p w14:paraId="0D200A65" w14:textId="5756EE31" w:rsidR="00691CC1" w:rsidRPr="00843B2C" w:rsidRDefault="00691CC1" w:rsidP="00487FCB">
            <w:pPr>
              <w:jc w:val="both"/>
              <w:rPr>
                <w:rFonts w:ascii="Times New Roman" w:hAnsi="Times New Roman" w:cs="Times New Roman"/>
                <w:b/>
                <w:lang w:val="es-ES"/>
              </w:rPr>
            </w:pPr>
            <w:r w:rsidRPr="00843B2C">
              <w:rPr>
                <w:rFonts w:ascii="Times New Roman" w:hAnsi="Times New Roman" w:cs="Times New Roman"/>
                <w:lang w:val="es-ES"/>
              </w:rPr>
              <w:t>Síntomas leves a moderados</w:t>
            </w:r>
          </w:p>
        </w:tc>
        <w:tc>
          <w:tcPr>
            <w:tcW w:w="1258" w:type="dxa"/>
          </w:tcPr>
          <w:p w14:paraId="213B7027" w14:textId="155400BD"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fldChar w:fldCharType="begin" w:fldLock="1"/>
            </w:r>
            <w:r w:rsidR="00AB0C5A" w:rsidRPr="00843B2C">
              <w:rPr>
                <w:rFonts w:ascii="Times New Roman" w:hAnsi="Times New Roman" w:cs="Times New Roman"/>
                <w:lang w:val="es-ES"/>
              </w:rPr>
              <w:instrText>ADDIN CSL_CITATION {"citationItems":[{"id":"ITEM-1","itemData":{"author":[{"dropping-particle":"","family":"Chinese Center for Disease Control and Prevention","given":"","non-dropping-particle":"","parse-names":false,"suffix":""}],"container-title":"China J Epidemiol","id":"ITEM-1","issue":"2","issued":{"date-parts":[["2020"]]},"page":"141-51","title":"The epidemiological characteristics of an outbreak of 2019 novel coronavirus diseases (COVID-19) in China","type":"article-journal","volume":"41"},"uris":["http://www.mendeley.com/documents/?uuid=758f3e5e-f7f6-44df-bcf4-8310b93495a8"]}],"mendeley":{"formattedCitation":"(8)","plainTextFormattedCitation":"(8)","previouslyFormattedCitation":"(8)"},"properties":{"noteIndex":0},"schema":"https://github.com/citation-style-language/schema/raw/master/csl-citation.json"}</w:instrText>
            </w:r>
            <w:r w:rsidRPr="00843B2C">
              <w:rPr>
                <w:rFonts w:ascii="Times New Roman" w:hAnsi="Times New Roman" w:cs="Times New Roman"/>
                <w:lang w:val="es-ES"/>
              </w:rPr>
              <w:fldChar w:fldCharType="separate"/>
            </w:r>
            <w:r w:rsidR="0089382F" w:rsidRPr="00843B2C">
              <w:rPr>
                <w:rFonts w:ascii="Times New Roman" w:hAnsi="Times New Roman" w:cs="Times New Roman"/>
                <w:noProof/>
                <w:lang w:val="es-ES"/>
              </w:rPr>
              <w:t>(8)</w:t>
            </w:r>
            <w:r w:rsidRPr="00843B2C">
              <w:rPr>
                <w:rFonts w:ascii="Times New Roman" w:hAnsi="Times New Roman" w:cs="Times New Roman"/>
                <w:lang w:val="es-ES"/>
              </w:rPr>
              <w:fldChar w:fldCharType="end"/>
            </w:r>
          </w:p>
        </w:tc>
      </w:tr>
      <w:tr w:rsidR="00691CC1" w:rsidRPr="00843B2C" w14:paraId="00152E19" w14:textId="77777777" w:rsidTr="00691CC1">
        <w:tc>
          <w:tcPr>
            <w:tcW w:w="2198" w:type="dxa"/>
          </w:tcPr>
          <w:p w14:paraId="3CE46356" w14:textId="77777777"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lastRenderedPageBreak/>
              <w:t>Proporción casos severos *</w:t>
            </w:r>
          </w:p>
        </w:tc>
        <w:tc>
          <w:tcPr>
            <w:tcW w:w="1307" w:type="dxa"/>
          </w:tcPr>
          <w:p w14:paraId="0CE0C0B6" w14:textId="77777777"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t>13,9 %</w:t>
            </w:r>
          </w:p>
        </w:tc>
        <w:tc>
          <w:tcPr>
            <w:tcW w:w="4065" w:type="dxa"/>
          </w:tcPr>
          <w:p w14:paraId="254DB8FF" w14:textId="082BC7AA" w:rsidR="00691CC1" w:rsidRPr="00843B2C" w:rsidRDefault="00691CC1" w:rsidP="00487FCB">
            <w:pPr>
              <w:jc w:val="both"/>
              <w:rPr>
                <w:rFonts w:ascii="Times New Roman" w:hAnsi="Times New Roman" w:cs="Times New Roman"/>
                <w:bCs/>
                <w:lang w:val="es-ES"/>
              </w:rPr>
            </w:pPr>
            <w:r w:rsidRPr="00843B2C">
              <w:rPr>
                <w:rFonts w:ascii="Times New Roman" w:hAnsi="Times New Roman" w:cs="Times New Roman"/>
                <w:bCs/>
                <w:lang w:val="es-ES"/>
              </w:rPr>
              <w:t>Requiere hospitalización</w:t>
            </w:r>
          </w:p>
        </w:tc>
        <w:tc>
          <w:tcPr>
            <w:tcW w:w="1258" w:type="dxa"/>
          </w:tcPr>
          <w:p w14:paraId="31BECEED" w14:textId="568187E9"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fldChar w:fldCharType="begin" w:fldLock="1"/>
            </w:r>
            <w:r w:rsidR="00AB0C5A" w:rsidRPr="00843B2C">
              <w:rPr>
                <w:rFonts w:ascii="Times New Roman" w:hAnsi="Times New Roman" w:cs="Times New Roman"/>
                <w:lang w:val="es-ES"/>
              </w:rPr>
              <w:instrText>ADDIN CSL_CITATION {"citationItems":[{"id":"ITEM-1","itemData":{"author":[{"dropping-particle":"","family":"Chinese Center for Disease Control and Prevention","given":"","non-dropping-particle":"","parse-names":false,"suffix":""}],"container-title":"China J Epidemiol","id":"ITEM-1","issue":"2","issued":{"date-parts":[["2020"]]},"page":"141-51","title":"The epidemiological characteristics of an outbreak of 2019 novel coronavirus diseases (COVID-19) in China","type":"article-journal","volume":"41"},"uris":["http://www.mendeley.com/documents/?uuid=758f3e5e-f7f6-44df-bcf4-8310b93495a8"]}],"mendeley":{"formattedCitation":"(8)","plainTextFormattedCitation":"(8)","previouslyFormattedCitation":"(8)"},"properties":{"noteIndex":0},"schema":"https://github.com/citation-style-language/schema/raw/master/csl-citation.json"}</w:instrText>
            </w:r>
            <w:r w:rsidRPr="00843B2C">
              <w:rPr>
                <w:rFonts w:ascii="Times New Roman" w:hAnsi="Times New Roman" w:cs="Times New Roman"/>
                <w:lang w:val="es-ES"/>
              </w:rPr>
              <w:fldChar w:fldCharType="separate"/>
            </w:r>
            <w:r w:rsidR="0089382F" w:rsidRPr="00843B2C">
              <w:rPr>
                <w:rFonts w:ascii="Times New Roman" w:hAnsi="Times New Roman" w:cs="Times New Roman"/>
                <w:noProof/>
                <w:lang w:val="es-ES"/>
              </w:rPr>
              <w:t>(8)</w:t>
            </w:r>
            <w:r w:rsidRPr="00843B2C">
              <w:rPr>
                <w:rFonts w:ascii="Times New Roman" w:hAnsi="Times New Roman" w:cs="Times New Roman"/>
                <w:lang w:val="es-ES"/>
              </w:rPr>
              <w:fldChar w:fldCharType="end"/>
            </w:r>
          </w:p>
        </w:tc>
      </w:tr>
      <w:tr w:rsidR="00691CC1" w:rsidRPr="00843B2C" w14:paraId="7BB97368" w14:textId="77777777" w:rsidTr="00691CC1">
        <w:tc>
          <w:tcPr>
            <w:tcW w:w="2198" w:type="dxa"/>
          </w:tcPr>
          <w:p w14:paraId="479619F2" w14:textId="77777777"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t>Proporción casos críticos *</w:t>
            </w:r>
          </w:p>
        </w:tc>
        <w:tc>
          <w:tcPr>
            <w:tcW w:w="1307" w:type="dxa"/>
          </w:tcPr>
          <w:p w14:paraId="74BA5D1B" w14:textId="77777777"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t>4,7 %</w:t>
            </w:r>
          </w:p>
        </w:tc>
        <w:tc>
          <w:tcPr>
            <w:tcW w:w="4065" w:type="dxa"/>
          </w:tcPr>
          <w:p w14:paraId="2C92CF51" w14:textId="2480721D" w:rsidR="00691CC1" w:rsidRPr="00843B2C" w:rsidRDefault="00691CC1" w:rsidP="00487FCB">
            <w:pPr>
              <w:jc w:val="both"/>
              <w:rPr>
                <w:rFonts w:ascii="Times New Roman" w:hAnsi="Times New Roman" w:cs="Times New Roman"/>
                <w:b/>
                <w:lang w:val="es-ES"/>
              </w:rPr>
            </w:pPr>
            <w:r w:rsidRPr="00843B2C">
              <w:rPr>
                <w:rFonts w:ascii="Times New Roman" w:hAnsi="Times New Roman" w:cs="Times New Roman"/>
                <w:lang w:val="es-ES"/>
              </w:rPr>
              <w:t>Requiere tratamiento en UCI</w:t>
            </w:r>
          </w:p>
        </w:tc>
        <w:tc>
          <w:tcPr>
            <w:tcW w:w="1258" w:type="dxa"/>
          </w:tcPr>
          <w:p w14:paraId="17282FAB" w14:textId="6C21F128" w:rsidR="00691CC1" w:rsidRPr="00843B2C" w:rsidRDefault="00691CC1" w:rsidP="00487FCB">
            <w:pPr>
              <w:jc w:val="both"/>
              <w:rPr>
                <w:rFonts w:ascii="Times New Roman" w:hAnsi="Times New Roman" w:cs="Times New Roman"/>
                <w:lang w:val="es-ES"/>
              </w:rPr>
            </w:pPr>
            <w:r w:rsidRPr="00843B2C">
              <w:rPr>
                <w:rFonts w:ascii="Times New Roman" w:hAnsi="Times New Roman" w:cs="Times New Roman"/>
                <w:lang w:val="es-ES"/>
              </w:rPr>
              <w:fldChar w:fldCharType="begin" w:fldLock="1"/>
            </w:r>
            <w:r w:rsidR="00AB0C5A" w:rsidRPr="00843B2C">
              <w:rPr>
                <w:rFonts w:ascii="Times New Roman" w:hAnsi="Times New Roman" w:cs="Times New Roman"/>
                <w:lang w:val="es-ES"/>
              </w:rPr>
              <w:instrText>ADDIN CSL_CITATION {"citationItems":[{"id":"ITEM-1","itemData":{"author":[{"dropping-particle":"","family":"Chinese Center for Disease Control and Prevention","given":"","non-dropping-particle":"","parse-names":false,"suffix":""}],"container-title":"China J Epidemiol","id":"ITEM-1","issue":"2","issued":{"date-parts":[["2020"]]},"page":"141-51","title":"The epidemiological characteristics of an outbreak of 2019 novel coronavirus diseases (COVID-19) in China","type":"article-journal","volume":"41"},"uris":["http://www.mendeley.com/documents/?uuid=758f3e5e-f7f6-44df-bcf4-8310b93495a8"]}],"mendeley":{"formattedCitation":"(8)","plainTextFormattedCitation":"(8)","previouslyFormattedCitation":"(8)"},"properties":{"noteIndex":0},"schema":"https://github.com/citation-style-language/schema/raw/master/csl-citation.json"}</w:instrText>
            </w:r>
            <w:r w:rsidRPr="00843B2C">
              <w:rPr>
                <w:rFonts w:ascii="Times New Roman" w:hAnsi="Times New Roman" w:cs="Times New Roman"/>
                <w:lang w:val="es-ES"/>
              </w:rPr>
              <w:fldChar w:fldCharType="separate"/>
            </w:r>
            <w:r w:rsidR="0089382F" w:rsidRPr="00843B2C">
              <w:rPr>
                <w:rFonts w:ascii="Times New Roman" w:hAnsi="Times New Roman" w:cs="Times New Roman"/>
                <w:noProof/>
                <w:lang w:val="es-ES"/>
              </w:rPr>
              <w:t>(8)</w:t>
            </w:r>
            <w:r w:rsidRPr="00843B2C">
              <w:rPr>
                <w:rFonts w:ascii="Times New Roman" w:hAnsi="Times New Roman" w:cs="Times New Roman"/>
                <w:lang w:val="es-ES"/>
              </w:rPr>
              <w:fldChar w:fldCharType="end"/>
            </w:r>
          </w:p>
        </w:tc>
      </w:tr>
    </w:tbl>
    <w:p w14:paraId="0D10B696" w14:textId="77777777" w:rsidR="00630244" w:rsidRPr="00843B2C" w:rsidRDefault="00630244" w:rsidP="00242686">
      <w:pPr>
        <w:spacing w:after="0" w:line="240" w:lineRule="auto"/>
        <w:jc w:val="both"/>
        <w:rPr>
          <w:rFonts w:ascii="Times New Roman" w:hAnsi="Times New Roman" w:cs="Times New Roman"/>
        </w:rPr>
      </w:pPr>
    </w:p>
    <w:p w14:paraId="39F9BF67" w14:textId="78CAF8E4" w:rsidR="00363136" w:rsidRPr="00843B2C" w:rsidRDefault="0097735C" w:rsidP="00242686">
      <w:pPr>
        <w:spacing w:after="0" w:line="240" w:lineRule="auto"/>
        <w:jc w:val="both"/>
        <w:rPr>
          <w:rFonts w:ascii="Times New Roman" w:hAnsi="Times New Roman" w:cs="Times New Roman"/>
          <w:b/>
          <w:bCs/>
          <w:lang w:val="es-ES"/>
        </w:rPr>
      </w:pPr>
      <w:r w:rsidRPr="00843B2C">
        <w:rPr>
          <w:rFonts w:ascii="Times New Roman" w:hAnsi="Times New Roman" w:cs="Times New Roman"/>
          <w:b/>
          <w:bCs/>
          <w:lang w:val="es-ES"/>
        </w:rPr>
        <w:t>Resultados</w:t>
      </w:r>
    </w:p>
    <w:p w14:paraId="4680A0E4" w14:textId="77777777" w:rsidR="00363136" w:rsidRPr="00843B2C" w:rsidRDefault="00363136" w:rsidP="00242686">
      <w:pPr>
        <w:spacing w:after="0" w:line="240" w:lineRule="auto"/>
        <w:jc w:val="both"/>
        <w:rPr>
          <w:rFonts w:ascii="Times New Roman" w:hAnsi="Times New Roman" w:cs="Times New Roman"/>
          <w:lang w:val="es-ES"/>
        </w:rPr>
      </w:pPr>
    </w:p>
    <w:p w14:paraId="3304A74B" w14:textId="26A58AC1" w:rsidR="0097735C" w:rsidRPr="00843B2C" w:rsidRDefault="0097735C" w:rsidP="0097735C">
      <w:pPr>
        <w:spacing w:after="0" w:line="240" w:lineRule="auto"/>
        <w:jc w:val="both"/>
        <w:rPr>
          <w:rFonts w:ascii="Times New Roman" w:hAnsi="Times New Roman" w:cs="Times New Roman"/>
          <w:lang w:val="es-ES"/>
        </w:rPr>
      </w:pPr>
      <w:r w:rsidRPr="00843B2C">
        <w:rPr>
          <w:rFonts w:ascii="Times New Roman" w:hAnsi="Times New Roman" w:cs="Times New Roman"/>
          <w:lang w:val="es-ES"/>
        </w:rPr>
        <w:t xml:space="preserve">Tabla </w:t>
      </w:r>
      <w:r w:rsidR="004343E7" w:rsidRPr="00843B2C">
        <w:rPr>
          <w:rFonts w:ascii="Times New Roman" w:hAnsi="Times New Roman" w:cs="Times New Roman"/>
          <w:lang w:val="es-ES"/>
        </w:rPr>
        <w:t>1</w:t>
      </w:r>
      <w:r w:rsidRPr="00843B2C">
        <w:rPr>
          <w:rFonts w:ascii="Times New Roman" w:hAnsi="Times New Roman" w:cs="Times New Roman"/>
          <w:lang w:val="es-ES"/>
        </w:rPr>
        <w:t xml:space="preserve">. Número probable de infectados al día 300 de epidemia por infección por COVID-19 (sin establecer medidas de control). </w:t>
      </w:r>
      <w:r w:rsidR="006F140C" w:rsidRPr="00843B2C">
        <w:rPr>
          <w:rFonts w:ascii="Times New Roman" w:hAnsi="Times New Roman" w:cs="Times New Roman"/>
          <w:b/>
          <w:lang w:val="es-ES"/>
        </w:rPr>
        <w:t>Puerto Carreño</w:t>
      </w:r>
      <w:r w:rsidRPr="00843B2C">
        <w:rPr>
          <w:rFonts w:ascii="Times New Roman" w:hAnsi="Times New Roman" w:cs="Times New Roman"/>
          <w:lang w:val="es-ES"/>
        </w:rPr>
        <w:t>, 2020</w:t>
      </w:r>
    </w:p>
    <w:p w14:paraId="5492BBDD" w14:textId="77777777" w:rsidR="0097735C" w:rsidRPr="00843B2C" w:rsidRDefault="0097735C" w:rsidP="0097735C">
      <w:pPr>
        <w:spacing w:after="0" w:line="240" w:lineRule="auto"/>
        <w:jc w:val="both"/>
        <w:rPr>
          <w:rFonts w:ascii="Times New Roman" w:hAnsi="Times New Roman" w:cs="Times New Roman"/>
          <w:lang w:val="es-ES"/>
        </w:rPr>
      </w:pPr>
    </w:p>
    <w:tbl>
      <w:tblPr>
        <w:tblW w:w="8926" w:type="dxa"/>
        <w:jc w:val="center"/>
        <w:tblLayout w:type="fixed"/>
        <w:tblCellMar>
          <w:left w:w="70" w:type="dxa"/>
          <w:right w:w="70" w:type="dxa"/>
        </w:tblCellMar>
        <w:tblLook w:val="04A0" w:firstRow="1" w:lastRow="0" w:firstColumn="1" w:lastColumn="0" w:noHBand="0" w:noVBand="1"/>
      </w:tblPr>
      <w:tblGrid>
        <w:gridCol w:w="3145"/>
        <w:gridCol w:w="2804"/>
        <w:gridCol w:w="2977"/>
      </w:tblGrid>
      <w:tr w:rsidR="0097735C" w:rsidRPr="00843B2C" w14:paraId="13103534" w14:textId="46D572AF" w:rsidTr="00B55B94">
        <w:trPr>
          <w:trHeight w:val="26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E0267" w14:textId="5AC3E7AD" w:rsidR="0097735C" w:rsidRPr="00843B2C" w:rsidRDefault="00D85482" w:rsidP="00487FCB">
            <w:pPr>
              <w:spacing w:after="0" w:line="240" w:lineRule="auto"/>
              <w:jc w:val="both"/>
              <w:rPr>
                <w:rFonts w:ascii="Times New Roman" w:eastAsia="Times New Roman" w:hAnsi="Times New Roman" w:cs="Times New Roman"/>
                <w:b/>
                <w:bCs/>
                <w:color w:val="000000"/>
                <w:sz w:val="20"/>
                <w:szCs w:val="20"/>
                <w:lang w:val="es-ES" w:eastAsia="es-CO"/>
              </w:rPr>
            </w:pPr>
            <w:r w:rsidRPr="00843B2C">
              <w:rPr>
                <w:rFonts w:ascii="Times New Roman" w:eastAsia="Times New Roman" w:hAnsi="Times New Roman" w:cs="Times New Roman"/>
                <w:b/>
                <w:bCs/>
                <w:color w:val="000000"/>
                <w:sz w:val="20"/>
                <w:szCs w:val="20"/>
                <w:lang w:val="es-ES" w:eastAsia="es-CO"/>
              </w:rPr>
              <w:t>Resultado</w:t>
            </w:r>
          </w:p>
        </w:tc>
        <w:tc>
          <w:tcPr>
            <w:tcW w:w="2804" w:type="dxa"/>
            <w:tcBorders>
              <w:top w:val="single" w:sz="4" w:space="0" w:color="auto"/>
              <w:left w:val="nil"/>
              <w:bottom w:val="single" w:sz="4" w:space="0" w:color="auto"/>
              <w:right w:val="single" w:sz="4" w:space="0" w:color="auto"/>
            </w:tcBorders>
            <w:shd w:val="clear" w:color="auto" w:fill="auto"/>
            <w:noWrap/>
            <w:vAlign w:val="bottom"/>
            <w:hideMark/>
          </w:tcPr>
          <w:p w14:paraId="11EED93A" w14:textId="5F47BE23" w:rsidR="0097735C" w:rsidRPr="00843B2C" w:rsidRDefault="004343E7" w:rsidP="00487FCB">
            <w:pPr>
              <w:spacing w:after="0" w:line="240" w:lineRule="auto"/>
              <w:jc w:val="both"/>
              <w:rPr>
                <w:rFonts w:ascii="Times New Roman" w:eastAsia="Times New Roman" w:hAnsi="Times New Roman" w:cs="Times New Roman"/>
                <w:b/>
                <w:bCs/>
                <w:color w:val="000000"/>
                <w:sz w:val="20"/>
                <w:szCs w:val="20"/>
                <w:lang w:val="es-ES" w:eastAsia="es-CO"/>
              </w:rPr>
            </w:pPr>
            <w:r w:rsidRPr="00843B2C">
              <w:rPr>
                <w:rFonts w:ascii="Times New Roman" w:eastAsia="Times New Roman" w:hAnsi="Times New Roman" w:cs="Times New Roman"/>
                <w:b/>
                <w:bCs/>
                <w:color w:val="000000"/>
                <w:sz w:val="20"/>
                <w:szCs w:val="20"/>
                <w:lang w:val="es-ES" w:eastAsia="es-CO"/>
              </w:rPr>
              <w:t>N</w:t>
            </w:r>
            <w:r w:rsidR="0097735C" w:rsidRPr="00843B2C">
              <w:rPr>
                <w:rFonts w:ascii="Times New Roman" w:eastAsia="Times New Roman" w:hAnsi="Times New Roman" w:cs="Times New Roman"/>
                <w:b/>
                <w:bCs/>
                <w:color w:val="000000"/>
                <w:sz w:val="20"/>
                <w:szCs w:val="20"/>
                <w:lang w:val="es-ES" w:eastAsia="es-CO"/>
              </w:rPr>
              <w:t>o hacer nada</w:t>
            </w:r>
            <w:r w:rsidR="00D85482" w:rsidRPr="00843B2C">
              <w:rPr>
                <w:rFonts w:ascii="Times New Roman" w:eastAsia="Times New Roman" w:hAnsi="Times New Roman" w:cs="Times New Roman"/>
                <w:b/>
                <w:bCs/>
                <w:color w:val="000000"/>
                <w:sz w:val="20"/>
                <w:szCs w:val="20"/>
                <w:lang w:val="es-ES" w:eastAsia="es-CO"/>
              </w:rPr>
              <w:t xml:space="preserve"> (R: 2,28)</w:t>
            </w:r>
          </w:p>
        </w:tc>
        <w:tc>
          <w:tcPr>
            <w:tcW w:w="2977" w:type="dxa"/>
            <w:tcBorders>
              <w:top w:val="single" w:sz="4" w:space="0" w:color="auto"/>
              <w:left w:val="nil"/>
              <w:bottom w:val="single" w:sz="4" w:space="0" w:color="auto"/>
              <w:right w:val="single" w:sz="4" w:space="0" w:color="auto"/>
            </w:tcBorders>
          </w:tcPr>
          <w:p w14:paraId="059D7ED7" w14:textId="611C2EF1" w:rsidR="0097735C" w:rsidRPr="00843B2C" w:rsidRDefault="004343E7" w:rsidP="00487FCB">
            <w:pPr>
              <w:spacing w:after="0" w:line="240" w:lineRule="auto"/>
              <w:jc w:val="both"/>
              <w:rPr>
                <w:rFonts w:ascii="Times New Roman" w:eastAsia="Times New Roman" w:hAnsi="Times New Roman" w:cs="Times New Roman"/>
                <w:b/>
                <w:bCs/>
                <w:color w:val="000000"/>
                <w:sz w:val="20"/>
                <w:szCs w:val="20"/>
                <w:lang w:val="es-ES" w:eastAsia="es-CO"/>
              </w:rPr>
            </w:pPr>
            <w:r w:rsidRPr="00843B2C">
              <w:rPr>
                <w:rFonts w:ascii="Times New Roman" w:eastAsia="Times New Roman" w:hAnsi="Times New Roman" w:cs="Times New Roman"/>
                <w:b/>
                <w:bCs/>
                <w:color w:val="000000"/>
                <w:sz w:val="20"/>
                <w:szCs w:val="20"/>
                <w:lang w:val="es-ES" w:eastAsia="es-CO"/>
              </w:rPr>
              <w:t>C</w:t>
            </w:r>
            <w:r w:rsidR="0097735C" w:rsidRPr="00843B2C">
              <w:rPr>
                <w:rFonts w:ascii="Times New Roman" w:eastAsia="Times New Roman" w:hAnsi="Times New Roman" w:cs="Times New Roman"/>
                <w:b/>
                <w:bCs/>
                <w:color w:val="000000"/>
                <w:sz w:val="20"/>
                <w:szCs w:val="20"/>
                <w:lang w:val="es-ES" w:eastAsia="es-CO"/>
              </w:rPr>
              <w:t>uarentena</w:t>
            </w:r>
            <w:r w:rsidR="00D85482" w:rsidRPr="00843B2C">
              <w:rPr>
                <w:rFonts w:ascii="Times New Roman" w:eastAsia="Times New Roman" w:hAnsi="Times New Roman" w:cs="Times New Roman"/>
                <w:b/>
                <w:bCs/>
                <w:color w:val="000000"/>
                <w:sz w:val="20"/>
                <w:szCs w:val="20"/>
                <w:lang w:val="es-ES" w:eastAsia="es-CO"/>
              </w:rPr>
              <w:t xml:space="preserve"> 25 de marzo y el 26 de abril (R: 1,2)</w:t>
            </w:r>
          </w:p>
        </w:tc>
      </w:tr>
      <w:tr w:rsidR="0097735C" w:rsidRPr="00843B2C" w14:paraId="48936CA2" w14:textId="77777777" w:rsidTr="00B55B94">
        <w:trPr>
          <w:trHeight w:val="26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5395B" w14:textId="4C610AE4" w:rsidR="0097735C" w:rsidRPr="00843B2C" w:rsidRDefault="0097735C" w:rsidP="00B91646">
            <w:pPr>
              <w:spacing w:after="0" w:line="240" w:lineRule="auto"/>
              <w:jc w:val="center"/>
              <w:rPr>
                <w:rFonts w:ascii="Times New Roman" w:eastAsia="Times New Roman" w:hAnsi="Times New Roman" w:cs="Times New Roman"/>
                <w:color w:val="000000"/>
                <w:sz w:val="20"/>
                <w:szCs w:val="20"/>
                <w:lang w:val="es-ES" w:eastAsia="es-CO"/>
              </w:rPr>
            </w:pPr>
            <w:r w:rsidRPr="00843B2C">
              <w:rPr>
                <w:rFonts w:ascii="Times New Roman" w:eastAsia="Times New Roman" w:hAnsi="Times New Roman" w:cs="Times New Roman"/>
                <w:color w:val="000000"/>
                <w:sz w:val="20"/>
                <w:szCs w:val="20"/>
                <w:lang w:val="es-ES" w:eastAsia="es-CO"/>
              </w:rPr>
              <w:t>Fecha del pico de casos</w:t>
            </w:r>
          </w:p>
        </w:tc>
        <w:tc>
          <w:tcPr>
            <w:tcW w:w="2804" w:type="dxa"/>
            <w:tcBorders>
              <w:top w:val="single" w:sz="4" w:space="0" w:color="auto"/>
              <w:left w:val="nil"/>
              <w:bottom w:val="single" w:sz="4" w:space="0" w:color="auto"/>
              <w:right w:val="single" w:sz="4" w:space="0" w:color="auto"/>
            </w:tcBorders>
            <w:shd w:val="clear" w:color="auto" w:fill="auto"/>
            <w:noWrap/>
            <w:vAlign w:val="bottom"/>
          </w:tcPr>
          <w:p w14:paraId="651613A0" w14:textId="748F4341" w:rsidR="0097735C" w:rsidRPr="00843B2C" w:rsidRDefault="00FE797B" w:rsidP="00926CE5">
            <w:pPr>
              <w:spacing w:after="0" w:line="240" w:lineRule="auto"/>
              <w:jc w:val="center"/>
              <w:rPr>
                <w:rFonts w:ascii="Times New Roman" w:eastAsia="Times New Roman" w:hAnsi="Times New Roman" w:cs="Times New Roman"/>
                <w:color w:val="000000"/>
                <w:sz w:val="20"/>
                <w:szCs w:val="20"/>
                <w:lang w:val="es-ES" w:eastAsia="es-CO"/>
              </w:rPr>
            </w:pPr>
            <w:r w:rsidRPr="00843B2C">
              <w:rPr>
                <w:rFonts w:ascii="Times New Roman" w:eastAsia="Times New Roman" w:hAnsi="Times New Roman" w:cs="Times New Roman"/>
                <w:color w:val="000000"/>
                <w:sz w:val="20"/>
                <w:szCs w:val="20"/>
                <w:lang w:val="es-ES" w:eastAsia="es-CO"/>
              </w:rPr>
              <w:t>14/05/2020</w:t>
            </w:r>
          </w:p>
        </w:tc>
        <w:tc>
          <w:tcPr>
            <w:tcW w:w="2977" w:type="dxa"/>
            <w:tcBorders>
              <w:top w:val="single" w:sz="4" w:space="0" w:color="auto"/>
              <w:left w:val="nil"/>
              <w:bottom w:val="single" w:sz="4" w:space="0" w:color="auto"/>
              <w:right w:val="single" w:sz="4" w:space="0" w:color="auto"/>
            </w:tcBorders>
          </w:tcPr>
          <w:p w14:paraId="1AFBCA7A" w14:textId="36512861" w:rsidR="0097735C" w:rsidRPr="00843B2C" w:rsidRDefault="00592D52" w:rsidP="00926CE5">
            <w:pPr>
              <w:spacing w:after="0" w:line="240" w:lineRule="auto"/>
              <w:jc w:val="center"/>
              <w:rPr>
                <w:rFonts w:ascii="Times New Roman" w:eastAsia="Times New Roman" w:hAnsi="Times New Roman" w:cs="Times New Roman"/>
                <w:color w:val="000000"/>
                <w:sz w:val="20"/>
                <w:szCs w:val="20"/>
                <w:lang w:val="es-ES" w:eastAsia="es-CO"/>
              </w:rPr>
            </w:pPr>
            <w:r w:rsidRPr="00843B2C">
              <w:rPr>
                <w:rFonts w:ascii="Times New Roman" w:eastAsia="Times New Roman" w:hAnsi="Times New Roman" w:cs="Times New Roman"/>
                <w:color w:val="000000"/>
                <w:sz w:val="20"/>
                <w:szCs w:val="20"/>
                <w:lang w:val="es-ES" w:eastAsia="es-CO"/>
              </w:rPr>
              <w:t>11/06/2020</w:t>
            </w:r>
          </w:p>
        </w:tc>
      </w:tr>
      <w:tr w:rsidR="0097735C" w:rsidRPr="00843B2C" w14:paraId="6A402741" w14:textId="77777777" w:rsidTr="00B55B94">
        <w:trPr>
          <w:trHeight w:val="26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BD9DC" w14:textId="7C6C4CC2" w:rsidR="0097735C" w:rsidRPr="00843B2C" w:rsidRDefault="0097735C" w:rsidP="00B91646">
            <w:pPr>
              <w:spacing w:after="0" w:line="240" w:lineRule="auto"/>
              <w:jc w:val="center"/>
              <w:rPr>
                <w:rFonts w:ascii="Times New Roman" w:eastAsia="Times New Roman" w:hAnsi="Times New Roman" w:cs="Times New Roman"/>
                <w:color w:val="000000"/>
                <w:sz w:val="20"/>
                <w:szCs w:val="20"/>
                <w:lang w:val="es-ES" w:eastAsia="es-CO"/>
              </w:rPr>
            </w:pPr>
            <w:r w:rsidRPr="00843B2C">
              <w:rPr>
                <w:rFonts w:ascii="Times New Roman" w:eastAsia="Times New Roman" w:hAnsi="Times New Roman" w:cs="Times New Roman"/>
                <w:color w:val="000000"/>
                <w:sz w:val="20"/>
                <w:szCs w:val="20"/>
                <w:lang w:val="es-ES" w:eastAsia="es-CO"/>
              </w:rPr>
              <w:t xml:space="preserve">Casos sintomáticos en </w:t>
            </w:r>
            <w:r w:rsidR="00D75747" w:rsidRPr="00843B2C">
              <w:rPr>
                <w:rFonts w:ascii="Times New Roman" w:eastAsia="Times New Roman" w:hAnsi="Times New Roman" w:cs="Times New Roman"/>
                <w:color w:val="000000"/>
                <w:sz w:val="20"/>
                <w:szCs w:val="20"/>
                <w:lang w:val="es-ES" w:eastAsia="es-CO"/>
              </w:rPr>
              <w:t xml:space="preserve">la </w:t>
            </w:r>
            <w:r w:rsidRPr="00843B2C">
              <w:rPr>
                <w:rFonts w:ascii="Times New Roman" w:eastAsia="Times New Roman" w:hAnsi="Times New Roman" w:cs="Times New Roman"/>
                <w:color w:val="000000"/>
                <w:sz w:val="20"/>
                <w:szCs w:val="20"/>
                <w:lang w:val="es-ES" w:eastAsia="es-CO"/>
              </w:rPr>
              <w:t>semana del pico</w:t>
            </w:r>
          </w:p>
        </w:tc>
        <w:tc>
          <w:tcPr>
            <w:tcW w:w="2804" w:type="dxa"/>
            <w:tcBorders>
              <w:top w:val="single" w:sz="4" w:space="0" w:color="auto"/>
              <w:left w:val="nil"/>
              <w:bottom w:val="single" w:sz="4" w:space="0" w:color="auto"/>
              <w:right w:val="single" w:sz="4" w:space="0" w:color="auto"/>
            </w:tcBorders>
            <w:shd w:val="clear" w:color="auto" w:fill="auto"/>
            <w:noWrap/>
            <w:vAlign w:val="bottom"/>
          </w:tcPr>
          <w:p w14:paraId="36A1C09D" w14:textId="4F919640" w:rsidR="0097735C" w:rsidRPr="00843B2C" w:rsidRDefault="00FE797B" w:rsidP="00926CE5">
            <w:pPr>
              <w:spacing w:after="0" w:line="240" w:lineRule="auto"/>
              <w:jc w:val="center"/>
              <w:rPr>
                <w:rFonts w:ascii="Times New Roman" w:eastAsia="Times New Roman" w:hAnsi="Times New Roman" w:cs="Times New Roman"/>
                <w:color w:val="000000"/>
                <w:sz w:val="20"/>
                <w:szCs w:val="20"/>
                <w:lang w:val="es-ES" w:eastAsia="es-CO"/>
              </w:rPr>
            </w:pPr>
            <w:r w:rsidRPr="00843B2C">
              <w:rPr>
                <w:rFonts w:ascii="Times New Roman" w:eastAsia="Times New Roman" w:hAnsi="Times New Roman" w:cs="Times New Roman"/>
                <w:color w:val="000000"/>
                <w:sz w:val="20"/>
                <w:szCs w:val="20"/>
                <w:lang w:val="es-ES" w:eastAsia="es-CO"/>
              </w:rPr>
              <w:t>2.900</w:t>
            </w:r>
          </w:p>
        </w:tc>
        <w:tc>
          <w:tcPr>
            <w:tcW w:w="2977" w:type="dxa"/>
            <w:tcBorders>
              <w:top w:val="single" w:sz="4" w:space="0" w:color="auto"/>
              <w:left w:val="nil"/>
              <w:bottom w:val="single" w:sz="4" w:space="0" w:color="auto"/>
              <w:right w:val="single" w:sz="4" w:space="0" w:color="auto"/>
            </w:tcBorders>
          </w:tcPr>
          <w:p w14:paraId="2E0E4827" w14:textId="77777777" w:rsidR="00D01DFA" w:rsidRDefault="00D01DFA" w:rsidP="00926CE5">
            <w:pPr>
              <w:spacing w:after="0" w:line="240" w:lineRule="auto"/>
              <w:jc w:val="center"/>
              <w:rPr>
                <w:rFonts w:ascii="Times New Roman" w:eastAsia="Times New Roman" w:hAnsi="Times New Roman" w:cs="Times New Roman"/>
                <w:color w:val="000000"/>
                <w:sz w:val="20"/>
                <w:szCs w:val="20"/>
                <w:lang w:val="es-ES" w:eastAsia="es-CO"/>
              </w:rPr>
            </w:pPr>
          </w:p>
          <w:p w14:paraId="76670BE4" w14:textId="5540B28A" w:rsidR="0097735C" w:rsidRPr="00843B2C" w:rsidRDefault="00FE797B" w:rsidP="00926CE5">
            <w:pPr>
              <w:spacing w:after="0" w:line="240" w:lineRule="auto"/>
              <w:jc w:val="center"/>
              <w:rPr>
                <w:rFonts w:ascii="Times New Roman" w:eastAsia="Times New Roman" w:hAnsi="Times New Roman" w:cs="Times New Roman"/>
                <w:color w:val="000000"/>
                <w:sz w:val="20"/>
                <w:szCs w:val="20"/>
                <w:lang w:val="es-ES" w:eastAsia="es-CO"/>
              </w:rPr>
            </w:pPr>
            <w:r w:rsidRPr="00843B2C">
              <w:rPr>
                <w:rFonts w:ascii="Times New Roman" w:eastAsia="Times New Roman" w:hAnsi="Times New Roman" w:cs="Times New Roman"/>
                <w:color w:val="000000"/>
                <w:sz w:val="20"/>
                <w:szCs w:val="20"/>
                <w:lang w:val="es-ES" w:eastAsia="es-CO"/>
              </w:rPr>
              <w:t>2.867</w:t>
            </w:r>
          </w:p>
        </w:tc>
      </w:tr>
      <w:tr w:rsidR="0097735C" w:rsidRPr="00843B2C" w14:paraId="7E363783" w14:textId="77777777" w:rsidTr="00B55B94">
        <w:trPr>
          <w:trHeight w:val="26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E4CE8" w14:textId="0272E7E1" w:rsidR="0097735C" w:rsidRPr="00843B2C" w:rsidRDefault="0097735C" w:rsidP="00B91646">
            <w:pPr>
              <w:spacing w:after="0" w:line="240" w:lineRule="auto"/>
              <w:jc w:val="center"/>
              <w:rPr>
                <w:rFonts w:ascii="Times New Roman" w:eastAsia="Times New Roman" w:hAnsi="Times New Roman" w:cs="Times New Roman"/>
                <w:color w:val="000000"/>
                <w:sz w:val="20"/>
                <w:szCs w:val="20"/>
                <w:lang w:val="es-ES" w:eastAsia="es-CO"/>
              </w:rPr>
            </w:pPr>
            <w:r w:rsidRPr="00843B2C">
              <w:rPr>
                <w:rFonts w:ascii="Times New Roman" w:eastAsia="Times New Roman" w:hAnsi="Times New Roman" w:cs="Times New Roman"/>
                <w:color w:val="000000"/>
                <w:sz w:val="20"/>
                <w:szCs w:val="20"/>
                <w:lang w:val="es-ES" w:eastAsia="es-CO"/>
              </w:rPr>
              <w:t>Camas de UCI necesarias en el pico</w:t>
            </w:r>
          </w:p>
        </w:tc>
        <w:tc>
          <w:tcPr>
            <w:tcW w:w="2804" w:type="dxa"/>
            <w:tcBorders>
              <w:top w:val="single" w:sz="4" w:space="0" w:color="auto"/>
              <w:left w:val="nil"/>
              <w:bottom w:val="single" w:sz="4" w:space="0" w:color="auto"/>
              <w:right w:val="single" w:sz="4" w:space="0" w:color="auto"/>
            </w:tcBorders>
            <w:shd w:val="clear" w:color="auto" w:fill="auto"/>
            <w:noWrap/>
            <w:vAlign w:val="bottom"/>
          </w:tcPr>
          <w:p w14:paraId="1C59260B" w14:textId="6C9E5ED7" w:rsidR="0097735C" w:rsidRPr="00843B2C" w:rsidRDefault="00BF0588" w:rsidP="00926CE5">
            <w:pPr>
              <w:spacing w:after="0" w:line="240" w:lineRule="auto"/>
              <w:jc w:val="center"/>
              <w:rPr>
                <w:rFonts w:ascii="Times New Roman" w:eastAsia="Times New Roman" w:hAnsi="Times New Roman" w:cs="Times New Roman"/>
                <w:color w:val="000000"/>
                <w:sz w:val="20"/>
                <w:szCs w:val="20"/>
                <w:lang w:val="es-ES" w:eastAsia="es-CO"/>
              </w:rPr>
            </w:pPr>
            <w:r w:rsidRPr="00843B2C">
              <w:rPr>
                <w:rFonts w:ascii="Times New Roman" w:eastAsia="Times New Roman" w:hAnsi="Times New Roman" w:cs="Times New Roman"/>
                <w:color w:val="000000"/>
                <w:sz w:val="20"/>
                <w:szCs w:val="20"/>
                <w:lang w:val="es-ES" w:eastAsia="es-CO"/>
              </w:rPr>
              <w:t>193</w:t>
            </w:r>
          </w:p>
        </w:tc>
        <w:tc>
          <w:tcPr>
            <w:tcW w:w="2977" w:type="dxa"/>
            <w:tcBorders>
              <w:top w:val="single" w:sz="4" w:space="0" w:color="auto"/>
              <w:left w:val="nil"/>
              <w:bottom w:val="single" w:sz="4" w:space="0" w:color="auto"/>
              <w:right w:val="single" w:sz="4" w:space="0" w:color="auto"/>
            </w:tcBorders>
          </w:tcPr>
          <w:p w14:paraId="23152B98" w14:textId="604EA83D" w:rsidR="0097735C" w:rsidRPr="00843B2C" w:rsidRDefault="00BF0588" w:rsidP="00926CE5">
            <w:pPr>
              <w:spacing w:after="0" w:line="240" w:lineRule="auto"/>
              <w:jc w:val="center"/>
              <w:rPr>
                <w:rFonts w:ascii="Times New Roman" w:eastAsia="Times New Roman" w:hAnsi="Times New Roman" w:cs="Times New Roman"/>
                <w:color w:val="000000"/>
                <w:sz w:val="20"/>
                <w:szCs w:val="20"/>
                <w:lang w:val="es-ES" w:eastAsia="es-CO"/>
              </w:rPr>
            </w:pPr>
            <w:r w:rsidRPr="00843B2C">
              <w:rPr>
                <w:rFonts w:ascii="Times New Roman" w:eastAsia="Times New Roman" w:hAnsi="Times New Roman" w:cs="Times New Roman"/>
                <w:color w:val="000000"/>
                <w:sz w:val="20"/>
                <w:szCs w:val="20"/>
                <w:lang w:val="es-ES" w:eastAsia="es-CO"/>
              </w:rPr>
              <w:t>188</w:t>
            </w:r>
          </w:p>
        </w:tc>
      </w:tr>
      <w:tr w:rsidR="00BF0588" w:rsidRPr="00843B2C" w14:paraId="218D8FA7" w14:textId="0617BABA" w:rsidTr="0098331A">
        <w:trPr>
          <w:trHeight w:val="54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5C908" w14:textId="56ADE25A" w:rsidR="00BF0588" w:rsidRPr="00843B2C" w:rsidRDefault="00BF0588" w:rsidP="00BF0588">
            <w:pPr>
              <w:spacing w:after="0" w:line="240" w:lineRule="auto"/>
              <w:jc w:val="center"/>
              <w:rPr>
                <w:rFonts w:ascii="Times New Roman" w:eastAsia="Times New Roman" w:hAnsi="Times New Roman" w:cs="Times New Roman"/>
                <w:color w:val="000000"/>
                <w:sz w:val="20"/>
                <w:szCs w:val="20"/>
                <w:lang w:val="es-ES" w:eastAsia="es-CO"/>
              </w:rPr>
            </w:pPr>
            <w:r w:rsidRPr="00843B2C">
              <w:rPr>
                <w:rFonts w:ascii="Times New Roman" w:eastAsia="Times New Roman" w:hAnsi="Times New Roman" w:cs="Times New Roman"/>
                <w:color w:val="000000"/>
                <w:sz w:val="20"/>
                <w:szCs w:val="20"/>
                <w:lang w:val="es-ES" w:eastAsia="es-CO"/>
              </w:rPr>
              <w:t>Infecciones totales</w:t>
            </w:r>
          </w:p>
        </w:tc>
        <w:tc>
          <w:tcPr>
            <w:tcW w:w="2804" w:type="dxa"/>
            <w:tcBorders>
              <w:top w:val="single" w:sz="4" w:space="0" w:color="auto"/>
              <w:left w:val="nil"/>
              <w:bottom w:val="single" w:sz="4" w:space="0" w:color="auto"/>
              <w:right w:val="single" w:sz="4" w:space="0" w:color="auto"/>
            </w:tcBorders>
            <w:shd w:val="clear" w:color="auto" w:fill="auto"/>
            <w:noWrap/>
          </w:tcPr>
          <w:p w14:paraId="778E1A22" w14:textId="0AFE55AA" w:rsidR="00BF0588" w:rsidRPr="00843B2C" w:rsidRDefault="00BF0588" w:rsidP="00BF0588">
            <w:pPr>
              <w:jc w:val="center"/>
              <w:rPr>
                <w:rFonts w:ascii="Times New Roman" w:hAnsi="Times New Roman" w:cs="Times New Roman"/>
                <w:color w:val="000000"/>
                <w:sz w:val="20"/>
                <w:szCs w:val="20"/>
              </w:rPr>
            </w:pPr>
            <w:r w:rsidRPr="00843B2C">
              <w:rPr>
                <w:rFonts w:ascii="Calibri" w:hAnsi="Calibri" w:cs="Calibri"/>
                <w:color w:val="000000"/>
              </w:rPr>
              <w:t>13</w:t>
            </w:r>
            <w:r w:rsidR="006B56F1" w:rsidRPr="00843B2C">
              <w:rPr>
                <w:rFonts w:ascii="Calibri" w:hAnsi="Calibri" w:cs="Calibri"/>
                <w:color w:val="000000"/>
              </w:rPr>
              <w:t>.</w:t>
            </w:r>
            <w:r w:rsidRPr="00843B2C">
              <w:rPr>
                <w:rFonts w:ascii="Calibri" w:hAnsi="Calibri" w:cs="Calibri"/>
                <w:color w:val="000000"/>
              </w:rPr>
              <w:t>456 (12</w:t>
            </w:r>
            <w:r w:rsidR="006B56F1" w:rsidRPr="00843B2C">
              <w:rPr>
                <w:rFonts w:ascii="Calibri" w:hAnsi="Calibri" w:cs="Calibri"/>
                <w:color w:val="000000"/>
              </w:rPr>
              <w:t>.</w:t>
            </w:r>
            <w:r w:rsidRPr="00843B2C">
              <w:rPr>
                <w:rFonts w:ascii="Calibri" w:hAnsi="Calibri" w:cs="Calibri"/>
                <w:color w:val="000000"/>
              </w:rPr>
              <w:t xml:space="preserve">713 </w:t>
            </w:r>
            <w:r w:rsidR="006B56F1" w:rsidRPr="00843B2C">
              <w:rPr>
                <w:rFonts w:ascii="Calibri" w:hAnsi="Calibri" w:cs="Calibri"/>
                <w:color w:val="000000"/>
              </w:rPr>
              <w:t>–</w:t>
            </w:r>
            <w:r w:rsidRPr="00843B2C">
              <w:rPr>
                <w:rFonts w:ascii="Calibri" w:hAnsi="Calibri" w:cs="Calibri"/>
                <w:color w:val="000000"/>
              </w:rPr>
              <w:t xml:space="preserve"> 14</w:t>
            </w:r>
            <w:r w:rsidR="006B56F1" w:rsidRPr="00843B2C">
              <w:rPr>
                <w:rFonts w:ascii="Calibri" w:hAnsi="Calibri" w:cs="Calibri"/>
                <w:color w:val="000000"/>
              </w:rPr>
              <w:t>.</w:t>
            </w:r>
            <w:r w:rsidRPr="00843B2C">
              <w:rPr>
                <w:rFonts w:ascii="Calibri" w:hAnsi="Calibri" w:cs="Calibri"/>
                <w:color w:val="000000"/>
              </w:rPr>
              <w:t>042)</w:t>
            </w:r>
          </w:p>
        </w:tc>
        <w:tc>
          <w:tcPr>
            <w:tcW w:w="2977" w:type="dxa"/>
            <w:tcBorders>
              <w:top w:val="single" w:sz="4" w:space="0" w:color="auto"/>
              <w:left w:val="nil"/>
              <w:bottom w:val="single" w:sz="4" w:space="0" w:color="auto"/>
              <w:right w:val="single" w:sz="4" w:space="0" w:color="auto"/>
            </w:tcBorders>
          </w:tcPr>
          <w:p w14:paraId="57632306" w14:textId="5E866B2B" w:rsidR="00BF0588" w:rsidRPr="00843B2C" w:rsidRDefault="00BF0588" w:rsidP="00BF0588">
            <w:pPr>
              <w:spacing w:after="0" w:line="240" w:lineRule="auto"/>
              <w:jc w:val="center"/>
              <w:rPr>
                <w:rFonts w:ascii="Times New Roman" w:hAnsi="Times New Roman" w:cs="Times New Roman"/>
                <w:color w:val="000000"/>
                <w:sz w:val="20"/>
                <w:szCs w:val="20"/>
              </w:rPr>
            </w:pPr>
            <w:r w:rsidRPr="00843B2C">
              <w:rPr>
                <w:rFonts w:ascii="Calibri" w:hAnsi="Calibri" w:cs="Calibri"/>
                <w:color w:val="000000"/>
              </w:rPr>
              <w:t>13</w:t>
            </w:r>
            <w:r w:rsidR="006B56F1" w:rsidRPr="00843B2C">
              <w:rPr>
                <w:rFonts w:ascii="Calibri" w:hAnsi="Calibri" w:cs="Calibri"/>
                <w:color w:val="000000"/>
              </w:rPr>
              <w:t>.</w:t>
            </w:r>
            <w:r w:rsidRPr="00843B2C">
              <w:rPr>
                <w:rFonts w:ascii="Calibri" w:hAnsi="Calibri" w:cs="Calibri"/>
                <w:color w:val="000000"/>
              </w:rPr>
              <w:t>454 (12</w:t>
            </w:r>
            <w:r w:rsidR="006B56F1" w:rsidRPr="00843B2C">
              <w:rPr>
                <w:rFonts w:ascii="Calibri" w:hAnsi="Calibri" w:cs="Calibri"/>
                <w:color w:val="000000"/>
              </w:rPr>
              <w:t>.</w:t>
            </w:r>
            <w:r w:rsidRPr="00843B2C">
              <w:rPr>
                <w:rFonts w:ascii="Calibri" w:hAnsi="Calibri" w:cs="Calibri"/>
                <w:color w:val="000000"/>
              </w:rPr>
              <w:t xml:space="preserve">711 </w:t>
            </w:r>
            <w:r w:rsidR="006B56F1" w:rsidRPr="00843B2C">
              <w:rPr>
                <w:rFonts w:ascii="Calibri" w:hAnsi="Calibri" w:cs="Calibri"/>
                <w:color w:val="000000"/>
              </w:rPr>
              <w:t>–</w:t>
            </w:r>
            <w:r w:rsidRPr="00843B2C">
              <w:rPr>
                <w:rFonts w:ascii="Calibri" w:hAnsi="Calibri" w:cs="Calibri"/>
                <w:color w:val="000000"/>
              </w:rPr>
              <w:t xml:space="preserve"> 14</w:t>
            </w:r>
            <w:r w:rsidR="006B56F1" w:rsidRPr="00843B2C">
              <w:rPr>
                <w:rFonts w:ascii="Calibri" w:hAnsi="Calibri" w:cs="Calibri"/>
                <w:color w:val="000000"/>
              </w:rPr>
              <w:t>.</w:t>
            </w:r>
            <w:r w:rsidRPr="00843B2C">
              <w:rPr>
                <w:rFonts w:ascii="Calibri" w:hAnsi="Calibri" w:cs="Calibri"/>
                <w:color w:val="000000"/>
              </w:rPr>
              <w:t>040)</w:t>
            </w:r>
          </w:p>
        </w:tc>
      </w:tr>
      <w:tr w:rsidR="006B56F1" w:rsidRPr="00843B2C" w14:paraId="3BC5980E" w14:textId="11437287" w:rsidTr="008D7068">
        <w:trPr>
          <w:trHeight w:val="65"/>
          <w:jc w:val="center"/>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4ECCB28A" w14:textId="4D0325E8" w:rsidR="006B56F1" w:rsidRPr="00843B2C" w:rsidRDefault="006B56F1" w:rsidP="006B56F1">
            <w:pPr>
              <w:spacing w:after="0" w:line="240" w:lineRule="auto"/>
              <w:jc w:val="center"/>
              <w:rPr>
                <w:rFonts w:ascii="Times New Roman" w:eastAsia="Times New Roman" w:hAnsi="Times New Roman" w:cs="Times New Roman"/>
                <w:color w:val="000000"/>
                <w:sz w:val="20"/>
                <w:szCs w:val="20"/>
                <w:lang w:val="es-ES" w:eastAsia="es-CO"/>
              </w:rPr>
            </w:pPr>
            <w:r w:rsidRPr="00843B2C">
              <w:rPr>
                <w:rFonts w:ascii="Times New Roman" w:eastAsia="Times New Roman" w:hAnsi="Times New Roman" w:cs="Times New Roman"/>
                <w:color w:val="000000"/>
                <w:sz w:val="20"/>
                <w:szCs w:val="20"/>
                <w:lang w:val="es-ES" w:eastAsia="es-CO"/>
              </w:rPr>
              <w:t>Casos Sintomáticos</w:t>
            </w:r>
          </w:p>
        </w:tc>
        <w:tc>
          <w:tcPr>
            <w:tcW w:w="2804" w:type="dxa"/>
            <w:tcBorders>
              <w:top w:val="nil"/>
              <w:left w:val="nil"/>
              <w:bottom w:val="single" w:sz="4" w:space="0" w:color="auto"/>
              <w:right w:val="single" w:sz="4" w:space="0" w:color="auto"/>
            </w:tcBorders>
            <w:shd w:val="clear" w:color="auto" w:fill="auto"/>
            <w:noWrap/>
          </w:tcPr>
          <w:p w14:paraId="1DEA2CCE" w14:textId="513F2F36" w:rsidR="006B56F1" w:rsidRPr="00843B2C" w:rsidRDefault="006B56F1" w:rsidP="006B56F1">
            <w:pPr>
              <w:jc w:val="center"/>
              <w:rPr>
                <w:rFonts w:ascii="Times New Roman" w:hAnsi="Times New Roman" w:cs="Times New Roman"/>
                <w:color w:val="000000"/>
                <w:sz w:val="20"/>
                <w:szCs w:val="20"/>
              </w:rPr>
            </w:pPr>
            <w:r w:rsidRPr="00843B2C">
              <w:rPr>
                <w:rFonts w:ascii="Calibri" w:hAnsi="Calibri" w:cs="Calibri"/>
                <w:color w:val="000000"/>
              </w:rPr>
              <w:t>11.963 (11.302 – 12.484)</w:t>
            </w:r>
          </w:p>
        </w:tc>
        <w:tc>
          <w:tcPr>
            <w:tcW w:w="2977" w:type="dxa"/>
            <w:tcBorders>
              <w:top w:val="nil"/>
              <w:left w:val="nil"/>
              <w:bottom w:val="single" w:sz="4" w:space="0" w:color="auto"/>
              <w:right w:val="single" w:sz="4" w:space="0" w:color="auto"/>
            </w:tcBorders>
          </w:tcPr>
          <w:p w14:paraId="638D543F" w14:textId="21DC1169" w:rsidR="006B56F1" w:rsidRPr="00843B2C" w:rsidRDefault="006B56F1" w:rsidP="006B56F1">
            <w:pPr>
              <w:spacing w:after="0" w:line="240" w:lineRule="auto"/>
              <w:rPr>
                <w:rFonts w:ascii="Times New Roman" w:hAnsi="Times New Roman" w:cs="Times New Roman"/>
                <w:color w:val="000000"/>
                <w:sz w:val="20"/>
                <w:szCs w:val="20"/>
              </w:rPr>
            </w:pPr>
            <w:r w:rsidRPr="00843B2C">
              <w:rPr>
                <w:rFonts w:ascii="Calibri" w:hAnsi="Calibri" w:cs="Calibri"/>
                <w:color w:val="000000"/>
              </w:rPr>
              <w:t>11.961 (11.300 – 12.482)</w:t>
            </w:r>
          </w:p>
        </w:tc>
      </w:tr>
      <w:tr w:rsidR="00526E13" w:rsidRPr="00843B2C" w14:paraId="35D88223" w14:textId="2AB902A4" w:rsidTr="00F16005">
        <w:trPr>
          <w:trHeight w:val="175"/>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14:paraId="388D0BFB" w14:textId="77777777" w:rsidR="00526E13" w:rsidRPr="00843B2C" w:rsidRDefault="00526E13" w:rsidP="00526E13">
            <w:pPr>
              <w:spacing w:after="0" w:line="240" w:lineRule="auto"/>
              <w:jc w:val="center"/>
              <w:rPr>
                <w:rFonts w:ascii="Times New Roman" w:eastAsia="Times New Roman" w:hAnsi="Times New Roman" w:cs="Times New Roman"/>
                <w:color w:val="000000"/>
                <w:sz w:val="20"/>
                <w:szCs w:val="20"/>
                <w:lang w:val="es-ES" w:eastAsia="es-CO"/>
              </w:rPr>
            </w:pPr>
            <w:r w:rsidRPr="00843B2C">
              <w:rPr>
                <w:rFonts w:ascii="Times New Roman" w:eastAsia="Times New Roman" w:hAnsi="Times New Roman" w:cs="Times New Roman"/>
                <w:color w:val="000000"/>
                <w:sz w:val="20"/>
                <w:szCs w:val="20"/>
                <w:lang w:val="es-ES" w:eastAsia="es-CO"/>
              </w:rPr>
              <w:t>Severos (Hospitalización)</w:t>
            </w:r>
          </w:p>
        </w:tc>
        <w:tc>
          <w:tcPr>
            <w:tcW w:w="2804" w:type="dxa"/>
            <w:tcBorders>
              <w:top w:val="nil"/>
              <w:left w:val="nil"/>
              <w:bottom w:val="single" w:sz="4" w:space="0" w:color="auto"/>
              <w:right w:val="single" w:sz="4" w:space="0" w:color="auto"/>
            </w:tcBorders>
            <w:shd w:val="clear" w:color="auto" w:fill="auto"/>
            <w:noWrap/>
          </w:tcPr>
          <w:p w14:paraId="16116EE8" w14:textId="0BD7720C" w:rsidR="00526E13" w:rsidRPr="00843B2C" w:rsidRDefault="00526E13" w:rsidP="00526E13">
            <w:pPr>
              <w:spacing w:after="0" w:line="240" w:lineRule="auto"/>
              <w:jc w:val="center"/>
              <w:rPr>
                <w:rFonts w:ascii="Times New Roman" w:hAnsi="Times New Roman" w:cs="Times New Roman"/>
                <w:sz w:val="20"/>
                <w:szCs w:val="20"/>
                <w:lang w:val="es-ES"/>
              </w:rPr>
            </w:pPr>
            <w:r w:rsidRPr="00843B2C">
              <w:rPr>
                <w:rFonts w:ascii="Calibri" w:hAnsi="Calibri" w:cs="Calibri"/>
                <w:color w:val="000000"/>
              </w:rPr>
              <w:t>1</w:t>
            </w:r>
            <w:r w:rsidR="006B56F1" w:rsidRPr="00843B2C">
              <w:rPr>
                <w:rFonts w:ascii="Calibri" w:hAnsi="Calibri" w:cs="Calibri"/>
                <w:color w:val="000000"/>
              </w:rPr>
              <w:t>.</w:t>
            </w:r>
            <w:r w:rsidRPr="00843B2C">
              <w:rPr>
                <w:rFonts w:ascii="Calibri" w:hAnsi="Calibri" w:cs="Calibri"/>
                <w:color w:val="000000"/>
              </w:rPr>
              <w:t>661 (1</w:t>
            </w:r>
            <w:r w:rsidR="006B56F1" w:rsidRPr="00843B2C">
              <w:rPr>
                <w:rFonts w:ascii="Calibri" w:hAnsi="Calibri" w:cs="Calibri"/>
                <w:color w:val="000000"/>
              </w:rPr>
              <w:t>.</w:t>
            </w:r>
            <w:r w:rsidRPr="00843B2C">
              <w:rPr>
                <w:rFonts w:ascii="Calibri" w:hAnsi="Calibri" w:cs="Calibri"/>
                <w:color w:val="000000"/>
              </w:rPr>
              <w:t xml:space="preserve">570 </w:t>
            </w:r>
            <w:r w:rsidR="006B56F1" w:rsidRPr="00843B2C">
              <w:rPr>
                <w:rFonts w:ascii="Calibri" w:hAnsi="Calibri" w:cs="Calibri"/>
                <w:color w:val="000000"/>
              </w:rPr>
              <w:t>–</w:t>
            </w:r>
            <w:r w:rsidRPr="00843B2C">
              <w:rPr>
                <w:rFonts w:ascii="Calibri" w:hAnsi="Calibri" w:cs="Calibri"/>
                <w:color w:val="000000"/>
              </w:rPr>
              <w:t xml:space="preserve"> 1</w:t>
            </w:r>
            <w:r w:rsidR="006B56F1" w:rsidRPr="00843B2C">
              <w:rPr>
                <w:rFonts w:ascii="Calibri" w:hAnsi="Calibri" w:cs="Calibri"/>
                <w:color w:val="000000"/>
              </w:rPr>
              <w:t>.</w:t>
            </w:r>
            <w:r w:rsidRPr="00843B2C">
              <w:rPr>
                <w:rFonts w:ascii="Calibri" w:hAnsi="Calibri" w:cs="Calibri"/>
                <w:color w:val="000000"/>
              </w:rPr>
              <w:t>734)</w:t>
            </w:r>
          </w:p>
        </w:tc>
        <w:tc>
          <w:tcPr>
            <w:tcW w:w="2977" w:type="dxa"/>
            <w:tcBorders>
              <w:top w:val="nil"/>
              <w:left w:val="nil"/>
              <w:bottom w:val="single" w:sz="4" w:space="0" w:color="auto"/>
              <w:right w:val="single" w:sz="4" w:space="0" w:color="auto"/>
            </w:tcBorders>
          </w:tcPr>
          <w:p w14:paraId="16A72253" w14:textId="381015CA" w:rsidR="00526E13" w:rsidRPr="00843B2C" w:rsidRDefault="00526E13" w:rsidP="00526E13">
            <w:pPr>
              <w:spacing w:after="0" w:line="240" w:lineRule="auto"/>
              <w:jc w:val="center"/>
              <w:rPr>
                <w:rFonts w:ascii="Times New Roman" w:hAnsi="Times New Roman" w:cs="Times New Roman"/>
                <w:color w:val="000000"/>
                <w:sz w:val="20"/>
                <w:szCs w:val="20"/>
              </w:rPr>
            </w:pPr>
            <w:r w:rsidRPr="00843B2C">
              <w:rPr>
                <w:rFonts w:ascii="Calibri" w:hAnsi="Calibri" w:cs="Calibri"/>
                <w:color w:val="000000"/>
              </w:rPr>
              <w:t>1</w:t>
            </w:r>
            <w:r w:rsidR="006B56F1" w:rsidRPr="00843B2C">
              <w:rPr>
                <w:rFonts w:ascii="Calibri" w:hAnsi="Calibri" w:cs="Calibri"/>
                <w:color w:val="000000"/>
              </w:rPr>
              <w:t>.</w:t>
            </w:r>
            <w:r w:rsidRPr="00843B2C">
              <w:rPr>
                <w:rFonts w:ascii="Calibri" w:hAnsi="Calibri" w:cs="Calibri"/>
                <w:color w:val="000000"/>
              </w:rPr>
              <w:t>661 (1</w:t>
            </w:r>
            <w:r w:rsidR="006B56F1" w:rsidRPr="00843B2C">
              <w:rPr>
                <w:rFonts w:ascii="Calibri" w:hAnsi="Calibri" w:cs="Calibri"/>
                <w:color w:val="000000"/>
              </w:rPr>
              <w:t>.</w:t>
            </w:r>
            <w:r w:rsidRPr="00843B2C">
              <w:rPr>
                <w:rFonts w:ascii="Calibri" w:hAnsi="Calibri" w:cs="Calibri"/>
                <w:color w:val="000000"/>
              </w:rPr>
              <w:t xml:space="preserve">569 </w:t>
            </w:r>
            <w:r w:rsidR="006B56F1" w:rsidRPr="00843B2C">
              <w:rPr>
                <w:rFonts w:ascii="Calibri" w:hAnsi="Calibri" w:cs="Calibri"/>
                <w:color w:val="000000"/>
              </w:rPr>
              <w:t>–</w:t>
            </w:r>
            <w:r w:rsidRPr="00843B2C">
              <w:rPr>
                <w:rFonts w:ascii="Calibri" w:hAnsi="Calibri" w:cs="Calibri"/>
                <w:color w:val="000000"/>
              </w:rPr>
              <w:t xml:space="preserve"> 1</w:t>
            </w:r>
            <w:r w:rsidR="006B56F1" w:rsidRPr="00843B2C">
              <w:rPr>
                <w:rFonts w:ascii="Calibri" w:hAnsi="Calibri" w:cs="Calibri"/>
                <w:color w:val="000000"/>
              </w:rPr>
              <w:t>.</w:t>
            </w:r>
            <w:r w:rsidRPr="00843B2C">
              <w:rPr>
                <w:rFonts w:ascii="Calibri" w:hAnsi="Calibri" w:cs="Calibri"/>
                <w:color w:val="000000"/>
              </w:rPr>
              <w:t>733)</w:t>
            </w:r>
          </w:p>
        </w:tc>
      </w:tr>
      <w:tr w:rsidR="00BF0588" w:rsidRPr="00843B2C" w14:paraId="0922278C" w14:textId="24DC8E57" w:rsidTr="00804BBB">
        <w:trPr>
          <w:trHeight w:val="184"/>
          <w:jc w:val="center"/>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559F9" w14:textId="045BFCA5" w:rsidR="00BF0588" w:rsidRPr="00843B2C" w:rsidRDefault="00BF0588" w:rsidP="00BF0588">
            <w:pPr>
              <w:spacing w:after="0" w:line="240" w:lineRule="auto"/>
              <w:jc w:val="center"/>
              <w:rPr>
                <w:rFonts w:ascii="Times New Roman" w:eastAsia="Times New Roman" w:hAnsi="Times New Roman" w:cs="Times New Roman"/>
                <w:color w:val="000000"/>
                <w:sz w:val="20"/>
                <w:szCs w:val="20"/>
                <w:lang w:val="es-ES" w:eastAsia="es-CO"/>
              </w:rPr>
            </w:pPr>
            <w:r w:rsidRPr="00843B2C">
              <w:rPr>
                <w:rFonts w:ascii="Times New Roman" w:eastAsia="Times New Roman" w:hAnsi="Times New Roman" w:cs="Times New Roman"/>
                <w:color w:val="000000"/>
                <w:sz w:val="20"/>
                <w:szCs w:val="20"/>
                <w:lang w:val="es-ES" w:eastAsia="es-CO"/>
              </w:rPr>
              <w:t>Críticos (UCI)</w:t>
            </w:r>
          </w:p>
        </w:tc>
        <w:tc>
          <w:tcPr>
            <w:tcW w:w="2804" w:type="dxa"/>
            <w:tcBorders>
              <w:top w:val="single" w:sz="4" w:space="0" w:color="auto"/>
              <w:left w:val="nil"/>
              <w:bottom w:val="single" w:sz="4" w:space="0" w:color="auto"/>
              <w:right w:val="single" w:sz="4" w:space="0" w:color="auto"/>
            </w:tcBorders>
            <w:shd w:val="clear" w:color="auto" w:fill="auto"/>
            <w:noWrap/>
          </w:tcPr>
          <w:p w14:paraId="3E597674" w14:textId="14544371" w:rsidR="00BF0588" w:rsidRPr="00843B2C" w:rsidRDefault="00BF0588" w:rsidP="00BF0588">
            <w:pPr>
              <w:spacing w:after="0" w:line="240" w:lineRule="auto"/>
              <w:jc w:val="center"/>
              <w:rPr>
                <w:rFonts w:ascii="Times New Roman" w:eastAsia="Times New Roman" w:hAnsi="Times New Roman" w:cs="Times New Roman"/>
                <w:color w:val="000000"/>
                <w:sz w:val="20"/>
                <w:szCs w:val="20"/>
                <w:lang w:val="es-ES" w:eastAsia="es-CO"/>
              </w:rPr>
            </w:pPr>
            <w:r w:rsidRPr="00843B2C">
              <w:rPr>
                <w:rFonts w:ascii="Calibri" w:hAnsi="Calibri" w:cs="Calibri"/>
                <w:color w:val="000000"/>
              </w:rPr>
              <w:t>562 (531 - 587)</w:t>
            </w:r>
          </w:p>
        </w:tc>
        <w:tc>
          <w:tcPr>
            <w:tcW w:w="2977" w:type="dxa"/>
            <w:tcBorders>
              <w:top w:val="single" w:sz="4" w:space="0" w:color="auto"/>
              <w:left w:val="nil"/>
              <w:bottom w:val="single" w:sz="4" w:space="0" w:color="auto"/>
              <w:right w:val="single" w:sz="4" w:space="0" w:color="auto"/>
            </w:tcBorders>
          </w:tcPr>
          <w:p w14:paraId="3C4D5E52" w14:textId="7FAC122D" w:rsidR="00BF0588" w:rsidRPr="00843B2C" w:rsidRDefault="00BF0588" w:rsidP="00BF0588">
            <w:pPr>
              <w:spacing w:after="0" w:line="240" w:lineRule="auto"/>
              <w:jc w:val="center"/>
              <w:rPr>
                <w:rFonts w:ascii="Times New Roman" w:hAnsi="Times New Roman" w:cs="Times New Roman"/>
                <w:color w:val="000000"/>
                <w:sz w:val="20"/>
                <w:szCs w:val="20"/>
              </w:rPr>
            </w:pPr>
            <w:r w:rsidRPr="00843B2C">
              <w:rPr>
                <w:rFonts w:ascii="Calibri" w:hAnsi="Calibri" w:cs="Calibri"/>
                <w:color w:val="000000"/>
              </w:rPr>
              <w:t>562 (531 - 587)</w:t>
            </w:r>
          </w:p>
        </w:tc>
      </w:tr>
      <w:tr w:rsidR="00BF0588" w:rsidRPr="00843B2C" w14:paraId="2AF98A5B" w14:textId="7F284AE6" w:rsidTr="005D3A6F">
        <w:trPr>
          <w:trHeight w:val="65"/>
          <w:jc w:val="center"/>
        </w:trPr>
        <w:tc>
          <w:tcPr>
            <w:tcW w:w="3145" w:type="dxa"/>
            <w:tcBorders>
              <w:top w:val="nil"/>
              <w:left w:val="single" w:sz="4" w:space="0" w:color="auto"/>
              <w:bottom w:val="single" w:sz="4" w:space="0" w:color="auto"/>
              <w:right w:val="single" w:sz="4" w:space="0" w:color="auto"/>
            </w:tcBorders>
            <w:shd w:val="clear" w:color="auto" w:fill="auto"/>
            <w:vAlign w:val="center"/>
          </w:tcPr>
          <w:p w14:paraId="7E53CC72" w14:textId="57F7FF1C" w:rsidR="00BF0588" w:rsidRPr="00843B2C" w:rsidRDefault="00BF0588" w:rsidP="00BF0588">
            <w:pPr>
              <w:spacing w:after="0" w:line="240" w:lineRule="auto"/>
              <w:jc w:val="center"/>
              <w:rPr>
                <w:rFonts w:ascii="Times New Roman" w:eastAsia="Times New Roman" w:hAnsi="Times New Roman" w:cs="Times New Roman"/>
                <w:color w:val="000000"/>
                <w:sz w:val="20"/>
                <w:szCs w:val="20"/>
                <w:lang w:val="es-ES" w:eastAsia="es-CO"/>
              </w:rPr>
            </w:pPr>
            <w:r w:rsidRPr="00843B2C">
              <w:rPr>
                <w:rFonts w:ascii="Times New Roman" w:eastAsia="Times New Roman" w:hAnsi="Times New Roman" w:cs="Times New Roman"/>
                <w:color w:val="000000"/>
                <w:sz w:val="20"/>
                <w:szCs w:val="20"/>
                <w:lang w:val="es-ES" w:eastAsia="es-CO"/>
              </w:rPr>
              <w:t>Muertes</w:t>
            </w:r>
          </w:p>
        </w:tc>
        <w:tc>
          <w:tcPr>
            <w:tcW w:w="2804" w:type="dxa"/>
            <w:tcBorders>
              <w:top w:val="nil"/>
              <w:left w:val="nil"/>
              <w:bottom w:val="single" w:sz="4" w:space="0" w:color="auto"/>
              <w:right w:val="single" w:sz="4" w:space="0" w:color="auto"/>
            </w:tcBorders>
            <w:shd w:val="clear" w:color="auto" w:fill="auto"/>
            <w:noWrap/>
          </w:tcPr>
          <w:p w14:paraId="6FD72028" w14:textId="7576A071" w:rsidR="00BF0588" w:rsidRPr="00843B2C" w:rsidRDefault="00BF0588" w:rsidP="00BF0588">
            <w:pPr>
              <w:keepNext/>
              <w:spacing w:after="0" w:line="240" w:lineRule="auto"/>
              <w:jc w:val="center"/>
              <w:rPr>
                <w:rFonts w:ascii="Times New Roman" w:eastAsia="Times New Roman" w:hAnsi="Times New Roman" w:cs="Times New Roman"/>
                <w:color w:val="000000"/>
                <w:sz w:val="20"/>
                <w:szCs w:val="20"/>
                <w:lang w:val="es-ES" w:eastAsia="es-CO"/>
              </w:rPr>
            </w:pPr>
            <w:r w:rsidRPr="00843B2C">
              <w:rPr>
                <w:rFonts w:ascii="Calibri" w:hAnsi="Calibri" w:cs="Calibri"/>
                <w:color w:val="000000"/>
              </w:rPr>
              <w:t>137 (118 - 156)</w:t>
            </w:r>
          </w:p>
        </w:tc>
        <w:tc>
          <w:tcPr>
            <w:tcW w:w="2977" w:type="dxa"/>
            <w:tcBorders>
              <w:top w:val="nil"/>
              <w:left w:val="nil"/>
              <w:bottom w:val="single" w:sz="4" w:space="0" w:color="auto"/>
              <w:right w:val="single" w:sz="4" w:space="0" w:color="auto"/>
            </w:tcBorders>
          </w:tcPr>
          <w:p w14:paraId="47CE54F6" w14:textId="62F613AC" w:rsidR="00BF0588" w:rsidRPr="00843B2C" w:rsidRDefault="00BF0588" w:rsidP="00BF0588">
            <w:pPr>
              <w:keepNext/>
              <w:spacing w:after="0" w:line="240" w:lineRule="auto"/>
              <w:jc w:val="center"/>
              <w:rPr>
                <w:rFonts w:ascii="Times New Roman" w:hAnsi="Times New Roman" w:cs="Times New Roman"/>
                <w:color w:val="000000"/>
                <w:sz w:val="20"/>
                <w:szCs w:val="20"/>
              </w:rPr>
            </w:pPr>
            <w:r w:rsidRPr="00843B2C">
              <w:rPr>
                <w:rFonts w:ascii="Calibri" w:hAnsi="Calibri" w:cs="Calibri"/>
                <w:color w:val="000000"/>
              </w:rPr>
              <w:t>137 (118 - 156)</w:t>
            </w:r>
          </w:p>
        </w:tc>
      </w:tr>
    </w:tbl>
    <w:p w14:paraId="62EE3A24" w14:textId="77777777" w:rsidR="00363136" w:rsidRPr="00843B2C" w:rsidRDefault="00363136" w:rsidP="00242686">
      <w:pPr>
        <w:spacing w:after="0" w:line="240" w:lineRule="auto"/>
        <w:jc w:val="both"/>
        <w:rPr>
          <w:rFonts w:ascii="Times New Roman" w:hAnsi="Times New Roman" w:cs="Times New Roman"/>
          <w:lang w:val="es-ES"/>
        </w:rPr>
      </w:pPr>
    </w:p>
    <w:p w14:paraId="55394A3E" w14:textId="2DBA23E2" w:rsidR="006C7D50" w:rsidRPr="00843B2C" w:rsidRDefault="00A21BC4" w:rsidP="00242686">
      <w:pPr>
        <w:spacing w:after="0" w:line="240" w:lineRule="auto"/>
        <w:jc w:val="both"/>
        <w:rPr>
          <w:rFonts w:ascii="Times New Roman" w:hAnsi="Times New Roman" w:cs="Times New Roman"/>
          <w:lang w:val="es-ES"/>
        </w:rPr>
      </w:pPr>
      <w:r w:rsidRPr="00843B2C">
        <w:rPr>
          <w:rFonts w:ascii="Times New Roman" w:hAnsi="Times New Roman" w:cs="Times New Roman"/>
          <w:lang w:val="es-ES"/>
        </w:rPr>
        <w:t xml:space="preserve">Figura 1. </w:t>
      </w:r>
      <w:r w:rsidR="006C7D50" w:rsidRPr="00843B2C">
        <w:rPr>
          <w:rFonts w:ascii="Times New Roman" w:hAnsi="Times New Roman" w:cs="Times New Roman"/>
          <w:lang w:val="es-ES"/>
        </w:rPr>
        <w:t xml:space="preserve">Casos </w:t>
      </w:r>
      <w:r w:rsidR="00D85482" w:rsidRPr="00843B2C">
        <w:rPr>
          <w:rFonts w:ascii="Times New Roman" w:hAnsi="Times New Roman" w:cs="Times New Roman"/>
          <w:lang w:val="es-ES"/>
        </w:rPr>
        <w:t>sintomáticos semanales</w:t>
      </w:r>
      <w:r w:rsidR="00363136" w:rsidRPr="00843B2C">
        <w:rPr>
          <w:rFonts w:ascii="Times New Roman" w:hAnsi="Times New Roman" w:cs="Times New Roman"/>
          <w:lang w:val="es-ES"/>
        </w:rPr>
        <w:t xml:space="preserve"> COVID-19</w:t>
      </w:r>
      <w:r w:rsidR="00837F93" w:rsidRPr="00843B2C">
        <w:rPr>
          <w:rFonts w:ascii="Times New Roman" w:hAnsi="Times New Roman" w:cs="Times New Roman"/>
          <w:lang w:val="es-ES"/>
        </w:rPr>
        <w:t xml:space="preserve"> </w:t>
      </w:r>
      <w:r w:rsidR="00D85482" w:rsidRPr="00843B2C">
        <w:rPr>
          <w:rFonts w:ascii="Times New Roman" w:hAnsi="Times New Roman" w:cs="Times New Roman"/>
          <w:lang w:val="es-ES"/>
        </w:rPr>
        <w:t xml:space="preserve">comparando el no hacer nada con la estimación luego de la cuarentena. </w:t>
      </w:r>
      <w:r w:rsidR="006F140C" w:rsidRPr="00843B2C">
        <w:rPr>
          <w:rFonts w:ascii="Times New Roman" w:hAnsi="Times New Roman" w:cs="Times New Roman"/>
          <w:b/>
          <w:lang w:val="es-ES"/>
        </w:rPr>
        <w:t>Puerto Carreño</w:t>
      </w:r>
      <w:r w:rsidR="00837F93" w:rsidRPr="00843B2C">
        <w:rPr>
          <w:rFonts w:ascii="Times New Roman" w:hAnsi="Times New Roman" w:cs="Times New Roman"/>
          <w:lang w:val="es-ES"/>
        </w:rPr>
        <w:t>, 2020</w:t>
      </w:r>
    </w:p>
    <w:p w14:paraId="2F206D80" w14:textId="77777777" w:rsidR="00A1273E" w:rsidRPr="00843B2C" w:rsidRDefault="00A1273E" w:rsidP="00242686">
      <w:pPr>
        <w:spacing w:after="0" w:line="240" w:lineRule="auto"/>
        <w:jc w:val="both"/>
        <w:rPr>
          <w:rFonts w:ascii="Times New Roman" w:hAnsi="Times New Roman" w:cs="Times New Roman"/>
          <w:lang w:val="es-ES"/>
        </w:rPr>
      </w:pPr>
    </w:p>
    <w:p w14:paraId="11E21DBE" w14:textId="01704A87" w:rsidR="006C7D50" w:rsidRPr="00843B2C" w:rsidRDefault="006C7D50" w:rsidP="00D75747">
      <w:pPr>
        <w:spacing w:after="0" w:line="240" w:lineRule="auto"/>
        <w:jc w:val="center"/>
        <w:rPr>
          <w:rFonts w:ascii="Times New Roman" w:hAnsi="Times New Roman" w:cs="Times New Roman"/>
          <w:lang w:val="es-ES"/>
        </w:rPr>
      </w:pPr>
    </w:p>
    <w:p w14:paraId="7998D4C0" w14:textId="260F2883" w:rsidR="00D85482" w:rsidRPr="00843B2C" w:rsidRDefault="00526E13" w:rsidP="00242686">
      <w:pPr>
        <w:spacing w:after="0" w:line="240" w:lineRule="auto"/>
        <w:jc w:val="both"/>
        <w:rPr>
          <w:rFonts w:ascii="Times New Roman" w:hAnsi="Times New Roman" w:cs="Times New Roman"/>
          <w:lang w:val="es-ES"/>
        </w:rPr>
      </w:pPr>
      <w:r w:rsidRPr="00843B2C">
        <w:rPr>
          <w:rFonts w:ascii="Times New Roman" w:hAnsi="Times New Roman" w:cs="Times New Roman"/>
          <w:noProof/>
          <w:lang w:val="es-ES"/>
        </w:rPr>
        <w:drawing>
          <wp:inline distT="0" distB="0" distL="0" distR="0" wp14:anchorId="2F07625E" wp14:editId="32774E9A">
            <wp:extent cx="4663440" cy="3482340"/>
            <wp:effectExtent l="0" t="0" r="381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3440" cy="3482340"/>
                    </a:xfrm>
                    <a:prstGeom prst="rect">
                      <a:avLst/>
                    </a:prstGeom>
                    <a:noFill/>
                  </pic:spPr>
                </pic:pic>
              </a:graphicData>
            </a:graphic>
          </wp:inline>
        </w:drawing>
      </w:r>
    </w:p>
    <w:p w14:paraId="2788A2A2" w14:textId="3CFCBDAB" w:rsidR="00D85482" w:rsidRPr="00843B2C" w:rsidRDefault="00D85482" w:rsidP="00242686">
      <w:pPr>
        <w:spacing w:after="0" w:line="240" w:lineRule="auto"/>
        <w:jc w:val="both"/>
        <w:rPr>
          <w:rFonts w:ascii="Times New Roman" w:hAnsi="Times New Roman" w:cs="Times New Roman"/>
          <w:lang w:val="es-ES"/>
        </w:rPr>
      </w:pPr>
    </w:p>
    <w:p w14:paraId="47052A3A" w14:textId="2C31DC7F" w:rsidR="00691CC1" w:rsidRPr="00843B2C" w:rsidRDefault="00691CC1" w:rsidP="00242686">
      <w:pPr>
        <w:spacing w:after="0" w:line="240" w:lineRule="auto"/>
        <w:jc w:val="both"/>
        <w:rPr>
          <w:rFonts w:ascii="Times New Roman" w:hAnsi="Times New Roman" w:cs="Times New Roman"/>
          <w:lang w:val="es-ES"/>
        </w:rPr>
      </w:pPr>
    </w:p>
    <w:p w14:paraId="46807751" w14:textId="496E4873" w:rsidR="00691CC1" w:rsidRPr="00843B2C" w:rsidRDefault="00691CC1" w:rsidP="00242686">
      <w:pPr>
        <w:spacing w:after="0" w:line="240" w:lineRule="auto"/>
        <w:jc w:val="both"/>
        <w:rPr>
          <w:rFonts w:ascii="Times New Roman" w:hAnsi="Times New Roman" w:cs="Times New Roman"/>
          <w:lang w:val="es-ES"/>
        </w:rPr>
      </w:pPr>
    </w:p>
    <w:p w14:paraId="26DE3E71" w14:textId="77777777" w:rsidR="00691CC1" w:rsidRPr="00843B2C" w:rsidRDefault="00691CC1" w:rsidP="00242686">
      <w:pPr>
        <w:spacing w:after="0" w:line="240" w:lineRule="auto"/>
        <w:jc w:val="both"/>
        <w:rPr>
          <w:rFonts w:ascii="Times New Roman" w:hAnsi="Times New Roman" w:cs="Times New Roman"/>
          <w:lang w:val="es-ES"/>
        </w:rPr>
      </w:pPr>
    </w:p>
    <w:p w14:paraId="1EF9F139" w14:textId="31F68A45" w:rsidR="00A21BC4" w:rsidRPr="00843B2C" w:rsidRDefault="00A21BC4" w:rsidP="00242686">
      <w:pPr>
        <w:spacing w:after="0" w:line="240" w:lineRule="auto"/>
        <w:jc w:val="both"/>
        <w:rPr>
          <w:rFonts w:ascii="Times New Roman" w:hAnsi="Times New Roman" w:cs="Times New Roman"/>
          <w:lang w:val="es-ES"/>
        </w:rPr>
      </w:pPr>
      <w:r w:rsidRPr="00843B2C">
        <w:rPr>
          <w:rFonts w:ascii="Times New Roman" w:hAnsi="Times New Roman" w:cs="Times New Roman"/>
          <w:lang w:val="es-ES"/>
        </w:rPr>
        <w:t xml:space="preserve">El día cero corresponde con el día en que se notificó el primer caso. </w:t>
      </w:r>
    </w:p>
    <w:p w14:paraId="2F787C15" w14:textId="77777777" w:rsidR="00A21BC4" w:rsidRPr="00843B2C" w:rsidRDefault="00A21BC4" w:rsidP="00242686">
      <w:pPr>
        <w:spacing w:after="0" w:line="240" w:lineRule="auto"/>
        <w:jc w:val="both"/>
        <w:rPr>
          <w:rFonts w:ascii="Times New Roman" w:hAnsi="Times New Roman" w:cs="Times New Roman"/>
          <w:lang w:val="es-ES"/>
        </w:rPr>
      </w:pPr>
    </w:p>
    <w:p w14:paraId="0A83B565" w14:textId="5561FDFF" w:rsidR="007B435F" w:rsidRPr="00843B2C" w:rsidRDefault="00582B76" w:rsidP="00242686">
      <w:pPr>
        <w:spacing w:after="0" w:line="240" w:lineRule="auto"/>
        <w:jc w:val="both"/>
        <w:rPr>
          <w:rFonts w:ascii="Times New Roman" w:hAnsi="Times New Roman" w:cs="Times New Roman"/>
          <w:lang w:val="es-ES"/>
        </w:rPr>
      </w:pPr>
      <w:r w:rsidRPr="00843B2C">
        <w:rPr>
          <w:rFonts w:ascii="Times New Roman" w:hAnsi="Times New Roman" w:cs="Times New Roman"/>
          <w:lang w:val="es-ES"/>
        </w:rPr>
        <w:t>Figura 2.</w:t>
      </w:r>
      <w:r w:rsidR="00D85482" w:rsidRPr="00843B2C">
        <w:rPr>
          <w:rFonts w:ascii="Times New Roman" w:hAnsi="Times New Roman" w:cs="Times New Roman"/>
          <w:lang w:val="es-ES"/>
        </w:rPr>
        <w:t xml:space="preserve"> Cama</w:t>
      </w:r>
      <w:r w:rsidR="000E5F58" w:rsidRPr="00843B2C">
        <w:rPr>
          <w:rFonts w:ascii="Times New Roman" w:hAnsi="Times New Roman" w:cs="Times New Roman"/>
          <w:lang w:val="es-ES"/>
        </w:rPr>
        <w:t>s</w:t>
      </w:r>
      <w:r w:rsidR="00D85482" w:rsidRPr="00843B2C">
        <w:rPr>
          <w:rFonts w:ascii="Times New Roman" w:hAnsi="Times New Roman" w:cs="Times New Roman"/>
          <w:lang w:val="es-ES"/>
        </w:rPr>
        <w:t xml:space="preserve"> de UCI diarias requeridas, asumiendo una estancia </w:t>
      </w:r>
      <w:r w:rsidR="00691CC1" w:rsidRPr="00843B2C">
        <w:rPr>
          <w:rFonts w:ascii="Times New Roman" w:hAnsi="Times New Roman" w:cs="Times New Roman"/>
          <w:lang w:val="es-ES"/>
        </w:rPr>
        <w:t>promedio</w:t>
      </w:r>
      <w:r w:rsidR="00D85482" w:rsidRPr="00843B2C">
        <w:rPr>
          <w:rFonts w:ascii="Times New Roman" w:hAnsi="Times New Roman" w:cs="Times New Roman"/>
          <w:lang w:val="es-ES"/>
        </w:rPr>
        <w:t xml:space="preserve"> de 10 días en UCI, comparando el no hacer nada con la estimación luego de la cuarentena. </w:t>
      </w:r>
      <w:r w:rsidR="006F140C" w:rsidRPr="00843B2C">
        <w:rPr>
          <w:rFonts w:ascii="Times New Roman" w:hAnsi="Times New Roman" w:cs="Times New Roman"/>
          <w:b/>
          <w:lang w:val="es-ES"/>
        </w:rPr>
        <w:t>Puerto Carreño</w:t>
      </w:r>
      <w:r w:rsidR="00065A3B" w:rsidRPr="00843B2C">
        <w:rPr>
          <w:rFonts w:ascii="Times New Roman" w:hAnsi="Times New Roman" w:cs="Times New Roman"/>
          <w:lang w:val="es-ES"/>
        </w:rPr>
        <w:t>,</w:t>
      </w:r>
      <w:r w:rsidR="00D85482" w:rsidRPr="00843B2C">
        <w:rPr>
          <w:rFonts w:ascii="Times New Roman" w:hAnsi="Times New Roman" w:cs="Times New Roman"/>
          <w:lang w:val="es-ES"/>
        </w:rPr>
        <w:t xml:space="preserve"> 2020</w:t>
      </w:r>
    </w:p>
    <w:p w14:paraId="3E91AE60" w14:textId="75DB6B85" w:rsidR="00296237" w:rsidRPr="00843B2C" w:rsidRDefault="00296237" w:rsidP="00242686">
      <w:pPr>
        <w:spacing w:after="0" w:line="240" w:lineRule="auto"/>
        <w:jc w:val="both"/>
        <w:rPr>
          <w:rFonts w:ascii="Times New Roman" w:hAnsi="Times New Roman" w:cs="Times New Roman"/>
          <w:lang w:val="es-ES"/>
        </w:rPr>
      </w:pPr>
    </w:p>
    <w:p w14:paraId="7DB8B490" w14:textId="6C4A0054" w:rsidR="00296237" w:rsidRPr="00843B2C" w:rsidRDefault="00BF0588" w:rsidP="00242686">
      <w:pPr>
        <w:spacing w:after="0" w:line="240" w:lineRule="auto"/>
        <w:jc w:val="both"/>
        <w:rPr>
          <w:rFonts w:ascii="Times New Roman" w:hAnsi="Times New Roman" w:cs="Times New Roman"/>
          <w:lang w:val="es-ES"/>
        </w:rPr>
      </w:pPr>
      <w:r w:rsidRPr="00843B2C">
        <w:rPr>
          <w:rFonts w:ascii="Times New Roman" w:hAnsi="Times New Roman" w:cs="Times New Roman"/>
          <w:noProof/>
          <w:lang w:val="es-ES"/>
        </w:rPr>
        <w:drawing>
          <wp:inline distT="0" distB="0" distL="0" distR="0" wp14:anchorId="5EDA3F13" wp14:editId="70E71628">
            <wp:extent cx="4754880" cy="304038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4880" cy="3040380"/>
                    </a:xfrm>
                    <a:prstGeom prst="rect">
                      <a:avLst/>
                    </a:prstGeom>
                    <a:noFill/>
                  </pic:spPr>
                </pic:pic>
              </a:graphicData>
            </a:graphic>
          </wp:inline>
        </w:drawing>
      </w:r>
    </w:p>
    <w:p w14:paraId="68881B21" w14:textId="2541E975" w:rsidR="00296237" w:rsidRPr="00843B2C" w:rsidRDefault="00296237" w:rsidP="00B91646">
      <w:pPr>
        <w:spacing w:after="0" w:line="240" w:lineRule="auto"/>
        <w:jc w:val="center"/>
        <w:rPr>
          <w:rFonts w:ascii="Times New Roman" w:hAnsi="Times New Roman" w:cs="Times New Roman"/>
          <w:lang w:val="es-ES"/>
        </w:rPr>
      </w:pPr>
    </w:p>
    <w:p w14:paraId="4AF00D66" w14:textId="77777777" w:rsidR="00296237" w:rsidRPr="00843B2C" w:rsidRDefault="00296237" w:rsidP="00242686">
      <w:pPr>
        <w:spacing w:after="0" w:line="240" w:lineRule="auto"/>
        <w:jc w:val="both"/>
        <w:rPr>
          <w:rFonts w:ascii="Times New Roman" w:hAnsi="Times New Roman" w:cs="Times New Roman"/>
          <w:lang w:val="es-ES"/>
        </w:rPr>
      </w:pPr>
    </w:p>
    <w:p w14:paraId="5D3B4CF2" w14:textId="7D7A1437" w:rsidR="00C8719A" w:rsidRPr="00843B2C" w:rsidRDefault="00C8719A" w:rsidP="00242686">
      <w:pPr>
        <w:spacing w:after="0" w:line="240" w:lineRule="auto"/>
        <w:jc w:val="both"/>
        <w:rPr>
          <w:rFonts w:ascii="Times New Roman" w:hAnsi="Times New Roman" w:cs="Times New Roman"/>
          <w:lang w:val="es-ES"/>
        </w:rPr>
      </w:pPr>
    </w:p>
    <w:p w14:paraId="2794F9BE" w14:textId="77777777" w:rsidR="006F2395" w:rsidRPr="00843B2C" w:rsidRDefault="006F2395" w:rsidP="006F2395">
      <w:pPr>
        <w:spacing w:after="0" w:line="240" w:lineRule="auto"/>
        <w:jc w:val="both"/>
        <w:rPr>
          <w:rFonts w:ascii="Times New Roman" w:hAnsi="Times New Roman" w:cs="Times New Roman"/>
          <w:lang w:val="es-ES"/>
        </w:rPr>
      </w:pPr>
      <w:r w:rsidRPr="00843B2C">
        <w:rPr>
          <w:rFonts w:ascii="Times New Roman" w:hAnsi="Times New Roman" w:cs="Times New Roman"/>
          <w:b/>
          <w:bCs/>
          <w:lang w:val="es-ES"/>
        </w:rPr>
        <w:t>Nota</w:t>
      </w:r>
      <w:r w:rsidRPr="00843B2C">
        <w:rPr>
          <w:rFonts w:ascii="Times New Roman" w:hAnsi="Times New Roman" w:cs="Times New Roman"/>
          <w:lang w:val="es-ES"/>
        </w:rPr>
        <w:t>. En la herramienta de Excel se puede ajustar una diferente distribución de severidad (que sume el 100% de los infectados) así como la duración de los eventos, por ejemplo diferentes estancias en UCI.</w:t>
      </w:r>
    </w:p>
    <w:p w14:paraId="3445ACFB" w14:textId="7009FB0A" w:rsidR="00A83101" w:rsidRDefault="00A83101" w:rsidP="00E93EA8">
      <w:pPr>
        <w:spacing w:after="0" w:line="240" w:lineRule="auto"/>
        <w:jc w:val="both"/>
        <w:rPr>
          <w:rFonts w:ascii="Times New Roman" w:hAnsi="Times New Roman" w:cs="Times New Roman"/>
          <w:lang w:val="es-ES"/>
        </w:rPr>
      </w:pPr>
    </w:p>
    <w:p w14:paraId="49F09103" w14:textId="5F28A0C0" w:rsidR="00A83101" w:rsidRDefault="00A83101" w:rsidP="00E93EA8">
      <w:pPr>
        <w:spacing w:after="0" w:line="240" w:lineRule="auto"/>
        <w:jc w:val="both"/>
        <w:rPr>
          <w:rFonts w:ascii="Times New Roman" w:hAnsi="Times New Roman" w:cs="Times New Roman"/>
          <w:lang w:val="es-ES"/>
        </w:rPr>
      </w:pPr>
      <w:r w:rsidRPr="00A83101">
        <w:rPr>
          <w:rFonts w:ascii="Times New Roman" w:hAnsi="Times New Roman" w:cs="Times New Roman"/>
          <w:lang w:val="es-ES"/>
        </w:rPr>
        <w:t>A continuación, se presenta el escenario con 80% de asintomáticos</w:t>
      </w:r>
    </w:p>
    <w:p w14:paraId="09BF1492" w14:textId="77777777" w:rsidR="00E93EA8" w:rsidRDefault="00E93EA8" w:rsidP="00E93EA8">
      <w:pPr>
        <w:spacing w:after="0" w:line="240" w:lineRule="auto"/>
        <w:jc w:val="both"/>
        <w:rPr>
          <w:rFonts w:ascii="Times New Roman" w:hAnsi="Times New Roman" w:cs="Times New Roman"/>
          <w:lang w:val="es-ES"/>
        </w:rPr>
      </w:pPr>
    </w:p>
    <w:p w14:paraId="0284E34F" w14:textId="357B2A13" w:rsidR="00E93EA8" w:rsidRPr="00D85482" w:rsidRDefault="00E93EA8" w:rsidP="00E93EA8">
      <w:pPr>
        <w:spacing w:after="0" w:line="240" w:lineRule="auto"/>
        <w:jc w:val="both"/>
        <w:rPr>
          <w:rFonts w:ascii="Times New Roman" w:hAnsi="Times New Roman" w:cs="Times New Roman"/>
          <w:lang w:val="es-ES"/>
        </w:rPr>
      </w:pPr>
      <w:r w:rsidRPr="00D85482">
        <w:rPr>
          <w:rFonts w:ascii="Times New Roman" w:hAnsi="Times New Roman" w:cs="Times New Roman"/>
          <w:lang w:val="es-ES"/>
        </w:rPr>
        <w:t xml:space="preserve">Tabla </w:t>
      </w:r>
      <w:r>
        <w:rPr>
          <w:rFonts w:ascii="Times New Roman" w:hAnsi="Times New Roman" w:cs="Times New Roman"/>
          <w:lang w:val="es-ES"/>
        </w:rPr>
        <w:t>2</w:t>
      </w:r>
      <w:r w:rsidRPr="00D85482">
        <w:rPr>
          <w:rFonts w:ascii="Times New Roman" w:hAnsi="Times New Roman" w:cs="Times New Roman"/>
          <w:lang w:val="es-ES"/>
        </w:rPr>
        <w:t xml:space="preserve">. Número probable de infectados al día 300 de epidemia por infección por COVID-19 (sin establecer medidas de </w:t>
      </w:r>
      <w:r w:rsidRPr="00E93EA8">
        <w:rPr>
          <w:rFonts w:ascii="Times New Roman" w:hAnsi="Times New Roman" w:cs="Times New Roman"/>
          <w:lang w:val="es-ES"/>
        </w:rPr>
        <w:t>control)</w:t>
      </w:r>
      <w:r>
        <w:rPr>
          <w:rFonts w:ascii="Times New Roman" w:hAnsi="Times New Roman" w:cs="Times New Roman"/>
          <w:lang w:val="es-ES"/>
        </w:rPr>
        <w:t xml:space="preserve"> Puerto Carreño</w:t>
      </w:r>
      <w:r w:rsidRPr="00E93EA8">
        <w:rPr>
          <w:rFonts w:ascii="Times New Roman" w:hAnsi="Times New Roman" w:cs="Times New Roman"/>
          <w:lang w:val="es-ES"/>
        </w:rPr>
        <w:t>, 2020</w:t>
      </w:r>
    </w:p>
    <w:p w14:paraId="3F10FF01" w14:textId="77777777" w:rsidR="00E93EA8" w:rsidRPr="00D85482" w:rsidRDefault="00E93EA8" w:rsidP="00E93EA8">
      <w:pPr>
        <w:spacing w:after="0" w:line="240" w:lineRule="auto"/>
        <w:jc w:val="both"/>
        <w:rPr>
          <w:rFonts w:ascii="Times New Roman" w:hAnsi="Times New Roman" w:cs="Times New Roman"/>
          <w:lang w:val="es-ES"/>
        </w:rPr>
      </w:pPr>
    </w:p>
    <w:tbl>
      <w:tblPr>
        <w:tblW w:w="9067" w:type="dxa"/>
        <w:jc w:val="center"/>
        <w:tblLayout w:type="fixed"/>
        <w:tblCellMar>
          <w:left w:w="70" w:type="dxa"/>
          <w:right w:w="70" w:type="dxa"/>
        </w:tblCellMar>
        <w:tblLook w:val="04A0" w:firstRow="1" w:lastRow="0" w:firstColumn="1" w:lastColumn="0" w:noHBand="0" w:noVBand="1"/>
      </w:tblPr>
      <w:tblGrid>
        <w:gridCol w:w="3145"/>
        <w:gridCol w:w="2946"/>
        <w:gridCol w:w="2976"/>
      </w:tblGrid>
      <w:tr w:rsidR="00E93EA8" w:rsidRPr="00D85482" w14:paraId="6707F62B" w14:textId="77777777" w:rsidTr="00E93EA8">
        <w:trPr>
          <w:trHeight w:val="265"/>
          <w:jc w:val="center"/>
        </w:trPr>
        <w:tc>
          <w:tcPr>
            <w:tcW w:w="31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390C7" w14:textId="77777777" w:rsidR="00E93EA8" w:rsidRPr="00D85482" w:rsidRDefault="00E93EA8" w:rsidP="00517902">
            <w:pPr>
              <w:spacing w:after="0" w:line="240" w:lineRule="auto"/>
              <w:jc w:val="both"/>
              <w:rPr>
                <w:rFonts w:ascii="Times New Roman" w:eastAsia="Times New Roman" w:hAnsi="Times New Roman" w:cs="Times New Roman"/>
                <w:b/>
                <w:bCs/>
                <w:color w:val="000000"/>
                <w:sz w:val="20"/>
                <w:szCs w:val="20"/>
                <w:lang w:val="es-ES" w:eastAsia="es-CO"/>
              </w:rPr>
            </w:pPr>
            <w:r>
              <w:rPr>
                <w:rFonts w:ascii="Times New Roman" w:eastAsia="Times New Roman" w:hAnsi="Times New Roman" w:cs="Times New Roman"/>
                <w:b/>
                <w:bCs/>
                <w:color w:val="000000"/>
                <w:sz w:val="20"/>
                <w:szCs w:val="20"/>
                <w:lang w:val="es-ES" w:eastAsia="es-CO"/>
              </w:rPr>
              <w:t>Resultado</w:t>
            </w:r>
          </w:p>
        </w:tc>
        <w:tc>
          <w:tcPr>
            <w:tcW w:w="2946" w:type="dxa"/>
            <w:tcBorders>
              <w:top w:val="single" w:sz="4" w:space="0" w:color="auto"/>
              <w:left w:val="nil"/>
              <w:bottom w:val="single" w:sz="4" w:space="0" w:color="auto"/>
              <w:right w:val="single" w:sz="4" w:space="0" w:color="auto"/>
            </w:tcBorders>
            <w:shd w:val="clear" w:color="auto" w:fill="auto"/>
            <w:noWrap/>
            <w:vAlign w:val="bottom"/>
            <w:hideMark/>
          </w:tcPr>
          <w:p w14:paraId="2BA5CA62" w14:textId="77777777" w:rsidR="00E93EA8" w:rsidRPr="00D85482" w:rsidRDefault="00E93EA8" w:rsidP="00517902">
            <w:pPr>
              <w:spacing w:after="0" w:line="240" w:lineRule="auto"/>
              <w:jc w:val="both"/>
              <w:rPr>
                <w:rFonts w:ascii="Times New Roman" w:eastAsia="Times New Roman" w:hAnsi="Times New Roman" w:cs="Times New Roman"/>
                <w:b/>
                <w:bCs/>
                <w:color w:val="000000"/>
                <w:sz w:val="20"/>
                <w:szCs w:val="20"/>
                <w:lang w:val="es-ES" w:eastAsia="es-CO"/>
              </w:rPr>
            </w:pPr>
            <w:r w:rsidRPr="00D85482">
              <w:rPr>
                <w:rFonts w:ascii="Times New Roman" w:eastAsia="Times New Roman" w:hAnsi="Times New Roman" w:cs="Times New Roman"/>
                <w:b/>
                <w:bCs/>
                <w:color w:val="000000"/>
                <w:sz w:val="20"/>
                <w:szCs w:val="20"/>
                <w:lang w:val="es-ES" w:eastAsia="es-CO"/>
              </w:rPr>
              <w:t>No hacer nada</w:t>
            </w:r>
            <w:r>
              <w:rPr>
                <w:rFonts w:ascii="Times New Roman" w:eastAsia="Times New Roman" w:hAnsi="Times New Roman" w:cs="Times New Roman"/>
                <w:b/>
                <w:bCs/>
                <w:color w:val="000000"/>
                <w:sz w:val="20"/>
                <w:szCs w:val="20"/>
                <w:lang w:val="es-ES" w:eastAsia="es-CO"/>
              </w:rPr>
              <w:t xml:space="preserve"> (R: 2,28)</w:t>
            </w:r>
          </w:p>
        </w:tc>
        <w:tc>
          <w:tcPr>
            <w:tcW w:w="2976" w:type="dxa"/>
            <w:tcBorders>
              <w:top w:val="single" w:sz="4" w:space="0" w:color="auto"/>
              <w:left w:val="nil"/>
              <w:bottom w:val="single" w:sz="4" w:space="0" w:color="auto"/>
              <w:right w:val="single" w:sz="4" w:space="0" w:color="auto"/>
            </w:tcBorders>
          </w:tcPr>
          <w:p w14:paraId="1251CBE6" w14:textId="77777777" w:rsidR="00E93EA8" w:rsidRPr="00D85482" w:rsidRDefault="00E93EA8" w:rsidP="00517902">
            <w:pPr>
              <w:spacing w:after="0" w:line="240" w:lineRule="auto"/>
              <w:jc w:val="both"/>
              <w:rPr>
                <w:rFonts w:ascii="Times New Roman" w:eastAsia="Times New Roman" w:hAnsi="Times New Roman" w:cs="Times New Roman"/>
                <w:b/>
                <w:bCs/>
                <w:color w:val="000000"/>
                <w:sz w:val="20"/>
                <w:szCs w:val="20"/>
                <w:lang w:val="es-ES" w:eastAsia="es-CO"/>
              </w:rPr>
            </w:pPr>
            <w:r w:rsidRPr="00D85482">
              <w:rPr>
                <w:rFonts w:ascii="Times New Roman" w:eastAsia="Times New Roman" w:hAnsi="Times New Roman" w:cs="Times New Roman"/>
                <w:b/>
                <w:bCs/>
                <w:color w:val="000000"/>
                <w:sz w:val="20"/>
                <w:szCs w:val="20"/>
                <w:lang w:val="es-ES" w:eastAsia="es-CO"/>
              </w:rPr>
              <w:t>Cuarentena</w:t>
            </w:r>
            <w:r>
              <w:rPr>
                <w:rFonts w:ascii="Times New Roman" w:eastAsia="Times New Roman" w:hAnsi="Times New Roman" w:cs="Times New Roman"/>
                <w:b/>
                <w:bCs/>
                <w:color w:val="000000"/>
                <w:sz w:val="20"/>
                <w:szCs w:val="20"/>
                <w:lang w:val="es-ES" w:eastAsia="es-CO"/>
              </w:rPr>
              <w:t xml:space="preserve"> </w:t>
            </w:r>
            <w:r w:rsidRPr="00D85482">
              <w:rPr>
                <w:rFonts w:ascii="Times New Roman" w:eastAsia="Times New Roman" w:hAnsi="Times New Roman" w:cs="Times New Roman"/>
                <w:b/>
                <w:bCs/>
                <w:color w:val="000000"/>
                <w:sz w:val="20"/>
                <w:szCs w:val="20"/>
                <w:lang w:val="es-ES" w:eastAsia="es-CO"/>
              </w:rPr>
              <w:t>25 de marzo y el 26 de abril</w:t>
            </w:r>
            <w:r>
              <w:rPr>
                <w:rFonts w:ascii="Times New Roman" w:eastAsia="Times New Roman" w:hAnsi="Times New Roman" w:cs="Times New Roman"/>
                <w:b/>
                <w:bCs/>
                <w:color w:val="000000"/>
                <w:sz w:val="20"/>
                <w:szCs w:val="20"/>
                <w:lang w:val="es-ES" w:eastAsia="es-CO"/>
              </w:rPr>
              <w:t xml:space="preserve"> (R: 1,2)</w:t>
            </w:r>
          </w:p>
        </w:tc>
      </w:tr>
      <w:tr w:rsidR="00E93EA8" w:rsidRPr="00D85482" w14:paraId="23BBE102" w14:textId="77777777" w:rsidTr="00E93EA8">
        <w:trPr>
          <w:trHeight w:val="65"/>
          <w:jc w:val="center"/>
        </w:trPr>
        <w:tc>
          <w:tcPr>
            <w:tcW w:w="3145" w:type="dxa"/>
            <w:tcBorders>
              <w:top w:val="nil"/>
              <w:left w:val="single" w:sz="4" w:space="0" w:color="auto"/>
              <w:bottom w:val="single" w:sz="4" w:space="0" w:color="auto"/>
              <w:right w:val="single" w:sz="4" w:space="0" w:color="auto"/>
            </w:tcBorders>
            <w:shd w:val="clear" w:color="auto" w:fill="auto"/>
            <w:noWrap/>
            <w:vAlign w:val="bottom"/>
            <w:hideMark/>
          </w:tcPr>
          <w:p w14:paraId="377BB1A1" w14:textId="77777777" w:rsidR="00E93EA8" w:rsidRPr="00D85482" w:rsidRDefault="00E93EA8" w:rsidP="00517902">
            <w:pPr>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Casos S</w:t>
            </w:r>
            <w:r w:rsidRPr="00D85482">
              <w:rPr>
                <w:rFonts w:ascii="Times New Roman" w:eastAsia="Times New Roman" w:hAnsi="Times New Roman" w:cs="Times New Roman"/>
                <w:color w:val="000000"/>
                <w:sz w:val="20"/>
                <w:szCs w:val="20"/>
                <w:lang w:val="es-ES" w:eastAsia="es-CO"/>
              </w:rPr>
              <w:t>intomáticos</w:t>
            </w:r>
          </w:p>
        </w:tc>
        <w:tc>
          <w:tcPr>
            <w:tcW w:w="2946" w:type="dxa"/>
            <w:tcBorders>
              <w:top w:val="nil"/>
              <w:left w:val="nil"/>
              <w:bottom w:val="single" w:sz="4" w:space="0" w:color="auto"/>
              <w:right w:val="single" w:sz="4" w:space="0" w:color="auto"/>
            </w:tcBorders>
            <w:shd w:val="clear" w:color="auto" w:fill="auto"/>
            <w:noWrap/>
          </w:tcPr>
          <w:p w14:paraId="1F5A3772" w14:textId="5B69E9BD" w:rsidR="00E93EA8" w:rsidRPr="00926CE5" w:rsidRDefault="00E93EA8" w:rsidP="00E93EA8">
            <w:pPr>
              <w:jc w:val="center"/>
              <w:rPr>
                <w:rFonts w:ascii="Times New Roman" w:hAnsi="Times New Roman" w:cs="Times New Roman"/>
                <w:color w:val="000000"/>
                <w:sz w:val="20"/>
                <w:szCs w:val="20"/>
              </w:rPr>
            </w:pPr>
            <w:r>
              <w:rPr>
                <w:rFonts w:ascii="Times New Roman" w:hAnsi="Times New Roman" w:cs="Times New Roman"/>
                <w:color w:val="000000"/>
                <w:sz w:val="20"/>
                <w:szCs w:val="20"/>
              </w:rPr>
              <w:t>2.691</w:t>
            </w:r>
          </w:p>
        </w:tc>
        <w:tc>
          <w:tcPr>
            <w:tcW w:w="2976" w:type="dxa"/>
            <w:tcBorders>
              <w:top w:val="nil"/>
              <w:left w:val="nil"/>
              <w:bottom w:val="single" w:sz="4" w:space="0" w:color="auto"/>
              <w:right w:val="single" w:sz="4" w:space="0" w:color="auto"/>
            </w:tcBorders>
          </w:tcPr>
          <w:p w14:paraId="630DCE9A" w14:textId="045916C1" w:rsidR="00E93EA8" w:rsidRPr="00926CE5" w:rsidRDefault="00E93EA8" w:rsidP="00E93EA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2.691</w:t>
            </w:r>
          </w:p>
        </w:tc>
      </w:tr>
      <w:tr w:rsidR="00E93EA8" w:rsidRPr="00D85482" w14:paraId="270FFE94" w14:textId="77777777" w:rsidTr="00E93EA8">
        <w:trPr>
          <w:trHeight w:val="184"/>
          <w:jc w:val="center"/>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3D540" w14:textId="77777777" w:rsidR="00E93EA8" w:rsidRPr="00D85482" w:rsidRDefault="00E93EA8" w:rsidP="00517902">
            <w:pPr>
              <w:spacing w:after="0" w:line="240" w:lineRule="auto"/>
              <w:jc w:val="center"/>
              <w:rPr>
                <w:rFonts w:ascii="Times New Roman" w:eastAsia="Times New Roman" w:hAnsi="Times New Roman" w:cs="Times New Roman"/>
                <w:color w:val="000000"/>
                <w:sz w:val="20"/>
                <w:szCs w:val="20"/>
                <w:lang w:val="es-ES" w:eastAsia="es-CO"/>
              </w:rPr>
            </w:pPr>
            <w:r w:rsidRPr="00D85482">
              <w:rPr>
                <w:rFonts w:ascii="Times New Roman" w:eastAsia="Times New Roman" w:hAnsi="Times New Roman" w:cs="Times New Roman"/>
                <w:color w:val="000000"/>
                <w:sz w:val="20"/>
                <w:szCs w:val="20"/>
                <w:lang w:val="es-ES" w:eastAsia="es-CO"/>
              </w:rPr>
              <w:t>Críticos (UCI)</w:t>
            </w:r>
          </w:p>
        </w:tc>
        <w:tc>
          <w:tcPr>
            <w:tcW w:w="2946" w:type="dxa"/>
            <w:tcBorders>
              <w:top w:val="single" w:sz="4" w:space="0" w:color="auto"/>
              <w:left w:val="nil"/>
              <w:bottom w:val="single" w:sz="4" w:space="0" w:color="auto"/>
              <w:right w:val="single" w:sz="4" w:space="0" w:color="auto"/>
            </w:tcBorders>
            <w:shd w:val="clear" w:color="auto" w:fill="auto"/>
            <w:noWrap/>
          </w:tcPr>
          <w:p w14:paraId="0308FC0E" w14:textId="053B7589" w:rsidR="00E93EA8" w:rsidRPr="00926CE5" w:rsidRDefault="00E93EA8" w:rsidP="00E93EA8">
            <w:pPr>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126</w:t>
            </w:r>
          </w:p>
        </w:tc>
        <w:tc>
          <w:tcPr>
            <w:tcW w:w="2976" w:type="dxa"/>
            <w:tcBorders>
              <w:top w:val="single" w:sz="4" w:space="0" w:color="auto"/>
              <w:left w:val="nil"/>
              <w:bottom w:val="single" w:sz="4" w:space="0" w:color="auto"/>
              <w:right w:val="single" w:sz="4" w:space="0" w:color="auto"/>
            </w:tcBorders>
          </w:tcPr>
          <w:p w14:paraId="0ABA45AF" w14:textId="71A392D7" w:rsidR="00E93EA8" w:rsidRPr="00926CE5" w:rsidRDefault="00E93EA8" w:rsidP="00E93EA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126</w:t>
            </w:r>
          </w:p>
        </w:tc>
      </w:tr>
      <w:tr w:rsidR="00E93EA8" w:rsidRPr="00D85482" w14:paraId="5403475A" w14:textId="77777777" w:rsidTr="00E93EA8">
        <w:trPr>
          <w:trHeight w:val="65"/>
          <w:jc w:val="center"/>
        </w:trPr>
        <w:tc>
          <w:tcPr>
            <w:tcW w:w="3145" w:type="dxa"/>
            <w:tcBorders>
              <w:top w:val="nil"/>
              <w:left w:val="single" w:sz="4" w:space="0" w:color="auto"/>
              <w:bottom w:val="single" w:sz="4" w:space="0" w:color="auto"/>
              <w:right w:val="single" w:sz="4" w:space="0" w:color="auto"/>
            </w:tcBorders>
            <w:shd w:val="clear" w:color="auto" w:fill="auto"/>
            <w:vAlign w:val="center"/>
          </w:tcPr>
          <w:p w14:paraId="2BA6407C" w14:textId="77777777" w:rsidR="00E93EA8" w:rsidRPr="00D85482" w:rsidRDefault="00E93EA8" w:rsidP="00517902">
            <w:pPr>
              <w:spacing w:after="0" w:line="240" w:lineRule="auto"/>
              <w:jc w:val="center"/>
              <w:rPr>
                <w:rFonts w:ascii="Times New Roman" w:eastAsia="Times New Roman" w:hAnsi="Times New Roman" w:cs="Times New Roman"/>
                <w:color w:val="000000"/>
                <w:sz w:val="20"/>
                <w:szCs w:val="20"/>
                <w:lang w:val="es-ES" w:eastAsia="es-CO"/>
              </w:rPr>
            </w:pPr>
            <w:r w:rsidRPr="00D85482">
              <w:rPr>
                <w:rFonts w:ascii="Times New Roman" w:eastAsia="Times New Roman" w:hAnsi="Times New Roman" w:cs="Times New Roman"/>
                <w:color w:val="000000"/>
                <w:sz w:val="20"/>
                <w:szCs w:val="20"/>
                <w:lang w:val="es-ES" w:eastAsia="es-CO"/>
              </w:rPr>
              <w:t>Muertes</w:t>
            </w:r>
          </w:p>
        </w:tc>
        <w:tc>
          <w:tcPr>
            <w:tcW w:w="2946" w:type="dxa"/>
            <w:tcBorders>
              <w:top w:val="nil"/>
              <w:left w:val="nil"/>
              <w:bottom w:val="single" w:sz="4" w:space="0" w:color="auto"/>
              <w:right w:val="single" w:sz="4" w:space="0" w:color="auto"/>
            </w:tcBorders>
            <w:shd w:val="clear" w:color="auto" w:fill="auto"/>
            <w:noWrap/>
          </w:tcPr>
          <w:p w14:paraId="24049FA4" w14:textId="18F41A8F" w:rsidR="00E93EA8" w:rsidRPr="00926CE5" w:rsidRDefault="00E93EA8" w:rsidP="00E93EA8">
            <w:pPr>
              <w:keepNext/>
              <w:spacing w:after="0" w:line="240" w:lineRule="auto"/>
              <w:jc w:val="center"/>
              <w:rPr>
                <w:rFonts w:ascii="Times New Roman" w:eastAsia="Times New Roman" w:hAnsi="Times New Roman" w:cs="Times New Roman"/>
                <w:color w:val="000000"/>
                <w:sz w:val="20"/>
                <w:szCs w:val="20"/>
                <w:lang w:val="es-ES" w:eastAsia="es-CO"/>
              </w:rPr>
            </w:pPr>
            <w:r>
              <w:rPr>
                <w:rFonts w:ascii="Times New Roman" w:eastAsia="Times New Roman" w:hAnsi="Times New Roman" w:cs="Times New Roman"/>
                <w:color w:val="000000"/>
                <w:sz w:val="20"/>
                <w:szCs w:val="20"/>
                <w:lang w:val="es-ES" w:eastAsia="es-CO"/>
              </w:rPr>
              <w:t>31</w:t>
            </w:r>
          </w:p>
        </w:tc>
        <w:tc>
          <w:tcPr>
            <w:tcW w:w="2976" w:type="dxa"/>
            <w:tcBorders>
              <w:top w:val="nil"/>
              <w:left w:val="nil"/>
              <w:bottom w:val="single" w:sz="4" w:space="0" w:color="auto"/>
              <w:right w:val="single" w:sz="4" w:space="0" w:color="auto"/>
            </w:tcBorders>
          </w:tcPr>
          <w:p w14:paraId="606D1674" w14:textId="3CB3A93A" w:rsidR="00E93EA8" w:rsidRPr="00926CE5" w:rsidRDefault="00E93EA8" w:rsidP="00E93EA8">
            <w:pPr>
              <w:keepNext/>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r>
    </w:tbl>
    <w:p w14:paraId="1CD53CBC" w14:textId="77777777" w:rsidR="00E93EA8" w:rsidRDefault="00E93EA8" w:rsidP="00E93EA8">
      <w:pPr>
        <w:spacing w:after="0" w:line="240" w:lineRule="auto"/>
        <w:jc w:val="both"/>
        <w:rPr>
          <w:rFonts w:ascii="Times New Roman" w:hAnsi="Times New Roman" w:cs="Times New Roman"/>
          <w:lang w:val="es-ES"/>
        </w:rPr>
      </w:pPr>
    </w:p>
    <w:p w14:paraId="072B7CA4" w14:textId="77777777" w:rsidR="00E93EA8" w:rsidRDefault="00E93EA8" w:rsidP="00E93EA8">
      <w:pPr>
        <w:spacing w:after="0" w:line="240" w:lineRule="auto"/>
        <w:jc w:val="both"/>
        <w:rPr>
          <w:rFonts w:ascii="Times New Roman" w:hAnsi="Times New Roman" w:cs="Times New Roman"/>
          <w:lang w:val="es-ES"/>
        </w:rPr>
      </w:pPr>
    </w:p>
    <w:p w14:paraId="4021AE44" w14:textId="77777777" w:rsidR="00E93EA8" w:rsidRDefault="00E93EA8" w:rsidP="00E93EA8">
      <w:pPr>
        <w:spacing w:after="0" w:line="240" w:lineRule="auto"/>
        <w:jc w:val="both"/>
        <w:rPr>
          <w:rFonts w:ascii="Times New Roman" w:hAnsi="Times New Roman" w:cs="Times New Roman"/>
          <w:lang w:val="es-ES"/>
        </w:rPr>
      </w:pPr>
    </w:p>
    <w:p w14:paraId="68654059" w14:textId="77777777" w:rsidR="00E93EA8" w:rsidRDefault="00E93EA8" w:rsidP="00E93EA8">
      <w:pPr>
        <w:spacing w:after="0" w:line="240" w:lineRule="auto"/>
        <w:jc w:val="both"/>
        <w:rPr>
          <w:rFonts w:ascii="Times New Roman" w:hAnsi="Times New Roman" w:cs="Times New Roman"/>
          <w:lang w:val="es-ES"/>
        </w:rPr>
      </w:pPr>
    </w:p>
    <w:p w14:paraId="4F592F70" w14:textId="77777777" w:rsidR="00E93EA8" w:rsidRDefault="00E93EA8" w:rsidP="00E93EA8">
      <w:pPr>
        <w:spacing w:after="0" w:line="240" w:lineRule="auto"/>
        <w:jc w:val="both"/>
        <w:rPr>
          <w:rFonts w:ascii="Times New Roman" w:hAnsi="Times New Roman" w:cs="Times New Roman"/>
          <w:lang w:val="es-ES"/>
        </w:rPr>
      </w:pPr>
    </w:p>
    <w:p w14:paraId="3B87C77F" w14:textId="51679553" w:rsidR="00E93EA8" w:rsidRDefault="00E93EA8" w:rsidP="00E93EA8">
      <w:pPr>
        <w:spacing w:after="0" w:line="240" w:lineRule="auto"/>
        <w:jc w:val="both"/>
        <w:rPr>
          <w:rFonts w:ascii="Times New Roman" w:hAnsi="Times New Roman" w:cs="Times New Roman"/>
          <w:lang w:val="es-ES"/>
        </w:rPr>
      </w:pPr>
      <w:r w:rsidRPr="00D85482">
        <w:rPr>
          <w:rFonts w:ascii="Times New Roman" w:hAnsi="Times New Roman" w:cs="Times New Roman"/>
          <w:lang w:val="es-ES"/>
        </w:rPr>
        <w:lastRenderedPageBreak/>
        <w:t xml:space="preserve">Figura </w:t>
      </w:r>
      <w:r>
        <w:rPr>
          <w:rFonts w:ascii="Times New Roman" w:hAnsi="Times New Roman" w:cs="Times New Roman"/>
          <w:lang w:val="es-ES"/>
        </w:rPr>
        <w:t>3</w:t>
      </w:r>
      <w:r w:rsidRPr="00D85482">
        <w:rPr>
          <w:rFonts w:ascii="Times New Roman" w:hAnsi="Times New Roman" w:cs="Times New Roman"/>
          <w:lang w:val="es-ES"/>
        </w:rPr>
        <w:t>.</w:t>
      </w:r>
      <w:r>
        <w:rPr>
          <w:rFonts w:ascii="Times New Roman" w:hAnsi="Times New Roman" w:cs="Times New Roman"/>
          <w:lang w:val="es-ES"/>
        </w:rPr>
        <w:t xml:space="preserve"> Camas de UCI diarias requeridas, asumiendo una estancia promedio de 10 días en UCI, comparando el no hacer nada con la estimación luego de la </w:t>
      </w:r>
      <w:r w:rsidRPr="00E93EA8">
        <w:rPr>
          <w:rFonts w:ascii="Times New Roman" w:hAnsi="Times New Roman" w:cs="Times New Roman"/>
          <w:lang w:val="es-ES"/>
        </w:rPr>
        <w:t>cuarentena</w:t>
      </w:r>
      <w:r w:rsidR="004E376B">
        <w:rPr>
          <w:rFonts w:ascii="Times New Roman" w:hAnsi="Times New Roman" w:cs="Times New Roman"/>
          <w:lang w:val="es-ES"/>
        </w:rPr>
        <w:t xml:space="preserve"> y con 80% de casos asintomáticos.</w:t>
      </w:r>
      <w:r w:rsidRPr="00E93EA8">
        <w:rPr>
          <w:rFonts w:ascii="Times New Roman" w:hAnsi="Times New Roman" w:cs="Times New Roman"/>
          <w:lang w:val="es-ES"/>
        </w:rPr>
        <w:t xml:space="preserve"> </w:t>
      </w:r>
      <w:r>
        <w:rPr>
          <w:rFonts w:ascii="Times New Roman" w:hAnsi="Times New Roman" w:cs="Times New Roman"/>
          <w:lang w:val="es-ES"/>
        </w:rPr>
        <w:t>Puerto Carreño</w:t>
      </w:r>
      <w:r w:rsidRPr="00E93EA8">
        <w:rPr>
          <w:rFonts w:ascii="Times New Roman" w:hAnsi="Times New Roman" w:cs="Times New Roman"/>
          <w:lang w:val="es-ES"/>
        </w:rPr>
        <w:t>, 2020</w:t>
      </w:r>
    </w:p>
    <w:p w14:paraId="62FD2CC0" w14:textId="77777777" w:rsidR="00E93EA8" w:rsidRPr="00D85482" w:rsidRDefault="00E93EA8" w:rsidP="00E93EA8">
      <w:pPr>
        <w:spacing w:after="0" w:line="240" w:lineRule="auto"/>
        <w:jc w:val="both"/>
        <w:rPr>
          <w:rFonts w:ascii="Times New Roman" w:hAnsi="Times New Roman" w:cs="Times New Roman"/>
          <w:lang w:val="es-ES"/>
        </w:rPr>
      </w:pPr>
    </w:p>
    <w:p w14:paraId="25791CE7" w14:textId="32569838" w:rsidR="00E93EA8" w:rsidRDefault="00E93EA8" w:rsidP="00242686">
      <w:pPr>
        <w:spacing w:after="0" w:line="240" w:lineRule="auto"/>
        <w:jc w:val="both"/>
        <w:rPr>
          <w:rFonts w:ascii="Times New Roman" w:hAnsi="Times New Roman" w:cs="Times New Roman"/>
          <w:lang w:val="es-ES"/>
        </w:rPr>
      </w:pPr>
    </w:p>
    <w:p w14:paraId="3F1A6F11" w14:textId="2EE10CC9" w:rsidR="00E93EA8" w:rsidRDefault="003B402A" w:rsidP="003B402A">
      <w:pPr>
        <w:spacing w:after="0" w:line="240" w:lineRule="auto"/>
        <w:jc w:val="center"/>
        <w:rPr>
          <w:rFonts w:ascii="Times New Roman" w:hAnsi="Times New Roman" w:cs="Times New Roman"/>
          <w:lang w:val="es-ES"/>
        </w:rPr>
      </w:pPr>
      <w:r>
        <w:rPr>
          <w:noProof/>
        </w:rPr>
        <w:drawing>
          <wp:inline distT="0" distB="0" distL="0" distR="0" wp14:anchorId="0AB4453D" wp14:editId="073C7989">
            <wp:extent cx="4172673" cy="2696902"/>
            <wp:effectExtent l="0" t="0" r="18415" b="8255"/>
            <wp:docPr id="3" name="Gráfico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E92055" w14:textId="448A106E" w:rsidR="006F2395" w:rsidRPr="00843B2C" w:rsidRDefault="006F2395" w:rsidP="00242686">
      <w:pPr>
        <w:spacing w:after="0" w:line="240" w:lineRule="auto"/>
        <w:jc w:val="both"/>
        <w:rPr>
          <w:rFonts w:ascii="Times New Roman" w:hAnsi="Times New Roman" w:cs="Times New Roman"/>
          <w:lang w:val="es-ES"/>
        </w:rPr>
      </w:pPr>
    </w:p>
    <w:p w14:paraId="7FA5249A" w14:textId="77777777" w:rsidR="006F2395" w:rsidRPr="00843B2C" w:rsidRDefault="006F2395" w:rsidP="00242686">
      <w:pPr>
        <w:spacing w:after="0" w:line="240" w:lineRule="auto"/>
        <w:jc w:val="both"/>
        <w:rPr>
          <w:rFonts w:ascii="Times New Roman" w:hAnsi="Times New Roman" w:cs="Times New Roman"/>
          <w:lang w:val="es-ES"/>
        </w:rPr>
      </w:pPr>
    </w:p>
    <w:p w14:paraId="30386BA0" w14:textId="62A53A31" w:rsidR="00CA04C3" w:rsidRDefault="00D85482" w:rsidP="00065A3B">
      <w:pPr>
        <w:spacing w:after="0" w:line="240" w:lineRule="auto"/>
        <w:jc w:val="both"/>
        <w:rPr>
          <w:rFonts w:ascii="Times New Roman" w:hAnsi="Times New Roman" w:cs="Times New Roman"/>
          <w:lang w:val="es-ES"/>
        </w:rPr>
      </w:pPr>
      <w:r w:rsidRPr="00843B2C">
        <w:rPr>
          <w:rFonts w:ascii="Times New Roman" w:hAnsi="Times New Roman" w:cs="Times New Roman"/>
          <w:lang w:val="es-ES"/>
        </w:rPr>
        <w:t xml:space="preserve">Elaborado por: </w:t>
      </w:r>
      <w:r w:rsidR="00D01DFA">
        <w:rPr>
          <w:rFonts w:ascii="Times New Roman" w:hAnsi="Times New Roman" w:cs="Times New Roman"/>
          <w:lang w:val="es-ES"/>
        </w:rPr>
        <w:t>Liliana Hilarión</w:t>
      </w:r>
      <w:r w:rsidR="00DC7A51">
        <w:rPr>
          <w:rFonts w:ascii="Times New Roman" w:hAnsi="Times New Roman" w:cs="Times New Roman"/>
          <w:lang w:val="es-ES"/>
        </w:rPr>
        <w:t xml:space="preserve"> y Gina Vargas</w:t>
      </w:r>
    </w:p>
    <w:p w14:paraId="77B65EC3" w14:textId="77777777" w:rsidR="00DC7A51" w:rsidRPr="00843B2C" w:rsidRDefault="00DC7A51" w:rsidP="00065A3B">
      <w:pPr>
        <w:spacing w:after="0" w:line="240" w:lineRule="auto"/>
        <w:jc w:val="both"/>
        <w:rPr>
          <w:rFonts w:ascii="Times New Roman" w:hAnsi="Times New Roman" w:cs="Times New Roman"/>
          <w:lang w:val="es-ES"/>
        </w:rPr>
      </w:pPr>
    </w:p>
    <w:p w14:paraId="4528730C" w14:textId="77777777" w:rsidR="00065A3B" w:rsidRPr="00843B2C" w:rsidRDefault="00065A3B" w:rsidP="00065A3B">
      <w:pPr>
        <w:spacing w:after="0" w:line="240" w:lineRule="auto"/>
        <w:jc w:val="both"/>
        <w:rPr>
          <w:rFonts w:ascii="Times New Roman" w:hAnsi="Times New Roman" w:cs="Times New Roman"/>
          <w:b/>
          <w:bCs/>
          <w:lang w:val="es-ES"/>
        </w:rPr>
      </w:pPr>
    </w:p>
    <w:p w14:paraId="07813A4F" w14:textId="053EA1E7" w:rsidR="00472F23" w:rsidRPr="00843B2C" w:rsidRDefault="001029BC" w:rsidP="00472F23">
      <w:pPr>
        <w:tabs>
          <w:tab w:val="left" w:pos="1284"/>
          <w:tab w:val="left" w:pos="7066"/>
        </w:tabs>
        <w:spacing w:after="0" w:line="240" w:lineRule="auto"/>
        <w:jc w:val="both"/>
        <w:rPr>
          <w:rFonts w:ascii="Times New Roman" w:hAnsi="Times New Roman" w:cs="Times New Roman"/>
          <w:b/>
          <w:bCs/>
        </w:rPr>
      </w:pPr>
      <w:r w:rsidRPr="00843B2C">
        <w:rPr>
          <w:rFonts w:ascii="Times New Roman" w:hAnsi="Times New Roman" w:cs="Times New Roman"/>
          <w:b/>
          <w:bCs/>
        </w:rPr>
        <w:t>Referencias</w:t>
      </w:r>
      <w:r w:rsidR="007E18F6" w:rsidRPr="00843B2C">
        <w:rPr>
          <w:rFonts w:ascii="Times New Roman" w:hAnsi="Times New Roman" w:cs="Times New Roman"/>
          <w:b/>
          <w:bCs/>
        </w:rPr>
        <w:tab/>
      </w:r>
    </w:p>
    <w:p w14:paraId="4ED5BB5D" w14:textId="7881AB35" w:rsidR="00CD2945" w:rsidRPr="00843B2C" w:rsidRDefault="00CD2945" w:rsidP="00472F23">
      <w:pPr>
        <w:tabs>
          <w:tab w:val="left" w:pos="1284"/>
          <w:tab w:val="left" w:pos="7066"/>
        </w:tabs>
        <w:spacing w:after="0" w:line="240" w:lineRule="auto"/>
        <w:jc w:val="both"/>
        <w:rPr>
          <w:rFonts w:ascii="Times New Roman" w:hAnsi="Times New Roman" w:cs="Times New Roman"/>
          <w:b/>
          <w:bCs/>
        </w:rPr>
      </w:pPr>
    </w:p>
    <w:p w14:paraId="7898A34E" w14:textId="463AF606" w:rsidR="00AB0C5A" w:rsidRPr="00843B2C" w:rsidRDefault="00CD2945"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843B2C">
        <w:rPr>
          <w:rFonts w:ascii="Times New Roman" w:hAnsi="Times New Roman" w:cs="Times New Roman"/>
          <w:b/>
          <w:bCs/>
        </w:rPr>
        <w:fldChar w:fldCharType="begin" w:fldLock="1"/>
      </w:r>
      <w:r w:rsidRPr="00843B2C">
        <w:rPr>
          <w:rFonts w:ascii="Times New Roman" w:hAnsi="Times New Roman" w:cs="Times New Roman"/>
          <w:b/>
          <w:bCs/>
        </w:rPr>
        <w:instrText xml:space="preserve">ADDIN Mendeley Bibliography CSL_BIBLIOGRAPHY </w:instrText>
      </w:r>
      <w:r w:rsidRPr="00843B2C">
        <w:rPr>
          <w:rFonts w:ascii="Times New Roman" w:hAnsi="Times New Roman" w:cs="Times New Roman"/>
          <w:b/>
          <w:bCs/>
        </w:rPr>
        <w:fldChar w:fldCharType="separate"/>
      </w:r>
      <w:r w:rsidR="00AB0C5A" w:rsidRPr="00843B2C">
        <w:rPr>
          <w:rFonts w:ascii="Times New Roman" w:hAnsi="Times New Roman" w:cs="Times New Roman"/>
          <w:noProof/>
          <w:szCs w:val="24"/>
        </w:rPr>
        <w:t xml:space="preserve">1. </w:t>
      </w:r>
      <w:r w:rsidR="00AB0C5A" w:rsidRPr="00843B2C">
        <w:rPr>
          <w:rFonts w:ascii="Times New Roman" w:hAnsi="Times New Roman" w:cs="Times New Roman"/>
          <w:noProof/>
          <w:szCs w:val="24"/>
        </w:rPr>
        <w:tab/>
        <w:t xml:space="preserve">Uribarri S, Rodríguez Meza M, Cervantes Cota J. Las matemáticas de las epidemias: caso México 2009 y otros. Cienc Ergo Sum. 2013;20(3):238–46. </w:t>
      </w:r>
    </w:p>
    <w:p w14:paraId="12BDCCF1" w14:textId="77777777" w:rsidR="00AB0C5A" w:rsidRPr="00843B2C"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843B2C">
        <w:rPr>
          <w:rFonts w:ascii="Times New Roman" w:hAnsi="Times New Roman" w:cs="Times New Roman"/>
          <w:noProof/>
          <w:szCs w:val="24"/>
        </w:rPr>
        <w:t xml:space="preserve">2. </w:t>
      </w:r>
      <w:r w:rsidRPr="00843B2C">
        <w:rPr>
          <w:rFonts w:ascii="Times New Roman" w:hAnsi="Times New Roman" w:cs="Times New Roman"/>
          <w:noProof/>
          <w:szCs w:val="24"/>
        </w:rPr>
        <w:tab/>
        <w:t>Ministerio de sanidad. Actualización n</w:t>
      </w:r>
      <w:r w:rsidRPr="00843B2C">
        <w:rPr>
          <w:rFonts w:ascii="Times New Roman" w:hAnsi="Times New Roman" w:cs="Times New Roman"/>
          <w:noProof/>
          <w:szCs w:val="24"/>
          <w:vertAlign w:val="superscript"/>
        </w:rPr>
        <w:t>o</w:t>
      </w:r>
      <w:r w:rsidRPr="00843B2C">
        <w:rPr>
          <w:rFonts w:ascii="Times New Roman" w:hAnsi="Times New Roman" w:cs="Times New Roman"/>
          <w:noProof/>
          <w:szCs w:val="24"/>
        </w:rPr>
        <w:t xml:space="preserve"> 33. Enfermedad por el coronavirus (COVID-19) 28.02.2020. 2020. </w:t>
      </w:r>
    </w:p>
    <w:p w14:paraId="166BF8B8" w14:textId="77777777" w:rsidR="00AB0C5A" w:rsidRPr="00843B2C"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843B2C">
        <w:rPr>
          <w:rFonts w:ascii="Times New Roman" w:hAnsi="Times New Roman" w:cs="Times New Roman"/>
          <w:noProof/>
          <w:szCs w:val="24"/>
        </w:rPr>
        <w:t xml:space="preserve">3. </w:t>
      </w:r>
      <w:r w:rsidRPr="00843B2C">
        <w:rPr>
          <w:rFonts w:ascii="Times New Roman" w:hAnsi="Times New Roman" w:cs="Times New Roman"/>
          <w:noProof/>
          <w:szCs w:val="24"/>
        </w:rPr>
        <w:tab/>
        <w:t xml:space="preserve">Zhang S, Diao M, Yu W, Pei L, Lin Z, Chen D. Estimation of the reproductive number of Novel Coronavirus (COVID-19) and the probable outbreak size on the Diamond Princess cruise ship: A data-driven analysis. Int J Infect Dis. 2020;1–9. </w:t>
      </w:r>
    </w:p>
    <w:p w14:paraId="4731630A" w14:textId="77777777" w:rsidR="00AB0C5A" w:rsidRPr="00843B2C"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843B2C">
        <w:rPr>
          <w:rFonts w:ascii="Times New Roman" w:hAnsi="Times New Roman" w:cs="Times New Roman"/>
          <w:noProof/>
          <w:szCs w:val="24"/>
        </w:rPr>
        <w:t xml:space="preserve">4. </w:t>
      </w:r>
      <w:r w:rsidRPr="00843B2C">
        <w:rPr>
          <w:rFonts w:ascii="Times New Roman" w:hAnsi="Times New Roman" w:cs="Times New Roman"/>
          <w:noProof/>
          <w:szCs w:val="24"/>
        </w:rPr>
        <w:tab/>
        <w:t xml:space="preserve">Departamento Administrativo Nacional de Estadística DANE. Proyecciones de Poblaciòn 2018-2023. </w:t>
      </w:r>
    </w:p>
    <w:p w14:paraId="4CB15950" w14:textId="77777777" w:rsidR="00AB0C5A" w:rsidRPr="00843B2C"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843B2C">
        <w:rPr>
          <w:rFonts w:ascii="Times New Roman" w:hAnsi="Times New Roman" w:cs="Times New Roman"/>
          <w:noProof/>
          <w:szCs w:val="24"/>
        </w:rPr>
        <w:t xml:space="preserve">5. </w:t>
      </w:r>
      <w:r w:rsidRPr="00843B2C">
        <w:rPr>
          <w:rFonts w:ascii="Times New Roman" w:hAnsi="Times New Roman" w:cs="Times New Roman"/>
          <w:noProof/>
          <w:szCs w:val="24"/>
        </w:rPr>
        <w:tab/>
        <w:t xml:space="preserve">Chen T, Rui J, Wang Q, Zhao Z, Cui J-A, Yin L. A mathematical model for simulating the transmission of Wuhan novel Coronavirus. Infect Dis Poverty. 2020;9(24):1–8. </w:t>
      </w:r>
    </w:p>
    <w:p w14:paraId="4ABC345E" w14:textId="77777777" w:rsidR="00AB0C5A" w:rsidRPr="00843B2C"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843B2C">
        <w:rPr>
          <w:rFonts w:ascii="Times New Roman" w:hAnsi="Times New Roman" w:cs="Times New Roman"/>
          <w:noProof/>
          <w:szCs w:val="24"/>
        </w:rPr>
        <w:t xml:space="preserve">6. </w:t>
      </w:r>
      <w:r w:rsidRPr="00843B2C">
        <w:rPr>
          <w:rFonts w:ascii="Times New Roman" w:hAnsi="Times New Roman" w:cs="Times New Roman"/>
          <w:noProof/>
          <w:szCs w:val="24"/>
        </w:rPr>
        <w:tab/>
        <w:t xml:space="preserve">Verity R, Okell LC, Dorigatti I, Winskill P, Whittaker C, Imai N, et al. Estimates of the severity of COVID-19 disease. medRxiv. 2020;2020.03.09.20033357. </w:t>
      </w:r>
    </w:p>
    <w:p w14:paraId="3131DFFA" w14:textId="77777777" w:rsidR="00AB0C5A" w:rsidRPr="00843B2C" w:rsidRDefault="00AB0C5A" w:rsidP="00AB0C5A">
      <w:pPr>
        <w:widowControl w:val="0"/>
        <w:autoSpaceDE w:val="0"/>
        <w:autoSpaceDN w:val="0"/>
        <w:adjustRightInd w:val="0"/>
        <w:spacing w:after="0" w:line="240" w:lineRule="auto"/>
        <w:ind w:left="640" w:hanging="640"/>
        <w:rPr>
          <w:rFonts w:ascii="Times New Roman" w:hAnsi="Times New Roman" w:cs="Times New Roman"/>
          <w:noProof/>
          <w:szCs w:val="24"/>
        </w:rPr>
      </w:pPr>
      <w:r w:rsidRPr="00843B2C">
        <w:rPr>
          <w:rFonts w:ascii="Times New Roman" w:hAnsi="Times New Roman" w:cs="Times New Roman"/>
          <w:noProof/>
          <w:szCs w:val="24"/>
        </w:rPr>
        <w:t xml:space="preserve">7. </w:t>
      </w:r>
      <w:r w:rsidRPr="00843B2C">
        <w:rPr>
          <w:rFonts w:ascii="Times New Roman" w:hAnsi="Times New Roman" w:cs="Times New Roman"/>
          <w:noProof/>
          <w:szCs w:val="24"/>
        </w:rPr>
        <w:tab/>
        <w:t>Ministry of Health Labour and Welfare. About Coronavirus Disease 2019 (COVID-19) [Internet]. 2020. Available from: https://www.mhlw.go.jp/stf/seisakunitsuite/bunya/newpage_00032.html</w:t>
      </w:r>
    </w:p>
    <w:p w14:paraId="616A4DE3" w14:textId="77777777" w:rsidR="00AB0C5A" w:rsidRPr="00843B2C" w:rsidRDefault="00AB0C5A" w:rsidP="00AB0C5A">
      <w:pPr>
        <w:widowControl w:val="0"/>
        <w:autoSpaceDE w:val="0"/>
        <w:autoSpaceDN w:val="0"/>
        <w:adjustRightInd w:val="0"/>
        <w:spacing w:after="0" w:line="240" w:lineRule="auto"/>
        <w:ind w:left="640" w:hanging="640"/>
        <w:rPr>
          <w:rFonts w:ascii="Times New Roman" w:hAnsi="Times New Roman" w:cs="Times New Roman"/>
          <w:noProof/>
        </w:rPr>
      </w:pPr>
      <w:r w:rsidRPr="00843B2C">
        <w:rPr>
          <w:rFonts w:ascii="Times New Roman" w:hAnsi="Times New Roman" w:cs="Times New Roman"/>
          <w:noProof/>
          <w:szCs w:val="24"/>
        </w:rPr>
        <w:t xml:space="preserve">8. </w:t>
      </w:r>
      <w:r w:rsidRPr="00843B2C">
        <w:rPr>
          <w:rFonts w:ascii="Times New Roman" w:hAnsi="Times New Roman" w:cs="Times New Roman"/>
          <w:noProof/>
          <w:szCs w:val="24"/>
        </w:rPr>
        <w:tab/>
        <w:t xml:space="preserve">Chinese Center for Disease Control and Prevention. The epidemiological characteristics of an outbreak of 2019 novel coronavirus diseases (COVID-19) in China. China J Epidemiol. 2020;41(2):141–51. </w:t>
      </w:r>
    </w:p>
    <w:p w14:paraId="21921AF3" w14:textId="01AC641F" w:rsidR="00CD2945" w:rsidRDefault="00CD2945" w:rsidP="00472F23">
      <w:pPr>
        <w:tabs>
          <w:tab w:val="left" w:pos="1284"/>
          <w:tab w:val="left" w:pos="7066"/>
        </w:tabs>
        <w:spacing w:after="0" w:line="240" w:lineRule="auto"/>
        <w:jc w:val="both"/>
        <w:rPr>
          <w:rFonts w:ascii="Times New Roman" w:hAnsi="Times New Roman" w:cs="Times New Roman"/>
          <w:b/>
          <w:bCs/>
        </w:rPr>
      </w:pPr>
      <w:r w:rsidRPr="00843B2C">
        <w:rPr>
          <w:rFonts w:ascii="Times New Roman" w:hAnsi="Times New Roman" w:cs="Times New Roman"/>
          <w:b/>
          <w:bCs/>
        </w:rPr>
        <w:fldChar w:fldCharType="end"/>
      </w:r>
    </w:p>
    <w:p w14:paraId="6679A24C" w14:textId="63543C50" w:rsidR="00CD2945" w:rsidRDefault="00CD2945" w:rsidP="00472F23">
      <w:pPr>
        <w:tabs>
          <w:tab w:val="left" w:pos="1284"/>
          <w:tab w:val="left" w:pos="7066"/>
        </w:tabs>
        <w:spacing w:after="0" w:line="240" w:lineRule="auto"/>
        <w:jc w:val="both"/>
        <w:rPr>
          <w:rFonts w:ascii="Times New Roman" w:hAnsi="Times New Roman" w:cs="Times New Roman"/>
          <w:b/>
          <w:bCs/>
        </w:rPr>
      </w:pPr>
    </w:p>
    <w:p w14:paraId="319AA8D2" w14:textId="154B5F60" w:rsidR="00CD2945" w:rsidRDefault="00CD2945" w:rsidP="00472F23">
      <w:pPr>
        <w:tabs>
          <w:tab w:val="left" w:pos="1284"/>
          <w:tab w:val="left" w:pos="7066"/>
        </w:tabs>
        <w:spacing w:after="0" w:line="240" w:lineRule="auto"/>
        <w:jc w:val="both"/>
        <w:rPr>
          <w:rFonts w:ascii="Times New Roman" w:hAnsi="Times New Roman" w:cs="Times New Roman"/>
          <w:b/>
          <w:bCs/>
        </w:rPr>
      </w:pPr>
    </w:p>
    <w:p w14:paraId="4B67D9A1" w14:textId="0136217E" w:rsidR="001029BC" w:rsidRPr="003B402A" w:rsidRDefault="001029BC" w:rsidP="003B402A">
      <w:pPr>
        <w:tabs>
          <w:tab w:val="left" w:pos="1284"/>
          <w:tab w:val="left" w:pos="7066"/>
        </w:tabs>
        <w:spacing w:after="0" w:line="240" w:lineRule="auto"/>
        <w:jc w:val="both"/>
        <w:rPr>
          <w:rFonts w:ascii="Times New Roman" w:hAnsi="Times New Roman" w:cs="Times New Roman"/>
          <w:b/>
          <w:bCs/>
        </w:rPr>
      </w:pPr>
    </w:p>
    <w:p w14:paraId="3A09AAB5" w14:textId="77777777" w:rsidR="001029BC" w:rsidRPr="00D85482" w:rsidRDefault="001029BC" w:rsidP="00242686">
      <w:pPr>
        <w:spacing w:after="0" w:line="240" w:lineRule="auto"/>
        <w:jc w:val="both"/>
        <w:rPr>
          <w:rFonts w:ascii="Times New Roman" w:hAnsi="Times New Roman" w:cs="Times New Roman"/>
          <w:lang w:val="es-AR"/>
        </w:rPr>
      </w:pPr>
    </w:p>
    <w:sectPr w:rsidR="001029BC" w:rsidRPr="00D854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C277D"/>
    <w:multiLevelType w:val="hybridMultilevel"/>
    <w:tmpl w:val="BDFAB7CC"/>
    <w:lvl w:ilvl="0" w:tplc="940273AA">
      <w:start w:val="19"/>
      <w:numFmt w:val="bullet"/>
      <w:lvlText w:val="-"/>
      <w:lvlJc w:val="left"/>
      <w:pPr>
        <w:ind w:left="360" w:hanging="360"/>
      </w:pPr>
      <w:rPr>
        <w:rFonts w:ascii="Times New Roman" w:eastAsiaTheme="minorHAnsi" w:hAnsi="Times New Roman" w:cs="Times New Roman"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864"/>
    <w:rsid w:val="00015534"/>
    <w:rsid w:val="00025D83"/>
    <w:rsid w:val="00043864"/>
    <w:rsid w:val="00065A3B"/>
    <w:rsid w:val="0007025F"/>
    <w:rsid w:val="00091ACF"/>
    <w:rsid w:val="000A0A34"/>
    <w:rsid w:val="000A2157"/>
    <w:rsid w:val="000A6EFA"/>
    <w:rsid w:val="000D0F5C"/>
    <w:rsid w:val="000E5F58"/>
    <w:rsid w:val="000F2DE5"/>
    <w:rsid w:val="000F6157"/>
    <w:rsid w:val="001029BC"/>
    <w:rsid w:val="00105D52"/>
    <w:rsid w:val="0010763E"/>
    <w:rsid w:val="001A003F"/>
    <w:rsid w:val="001E0A85"/>
    <w:rsid w:val="001F0AEE"/>
    <w:rsid w:val="002121CC"/>
    <w:rsid w:val="00221437"/>
    <w:rsid w:val="00240889"/>
    <w:rsid w:val="00242686"/>
    <w:rsid w:val="002651D7"/>
    <w:rsid w:val="00271F80"/>
    <w:rsid w:val="00296237"/>
    <w:rsid w:val="003051CD"/>
    <w:rsid w:val="003268AA"/>
    <w:rsid w:val="00337B4C"/>
    <w:rsid w:val="003615DC"/>
    <w:rsid w:val="00363136"/>
    <w:rsid w:val="00375A08"/>
    <w:rsid w:val="00396D00"/>
    <w:rsid w:val="003B402A"/>
    <w:rsid w:val="00415AAD"/>
    <w:rsid w:val="004343E7"/>
    <w:rsid w:val="00472F23"/>
    <w:rsid w:val="00485670"/>
    <w:rsid w:val="00487FCB"/>
    <w:rsid w:val="004D38E4"/>
    <w:rsid w:val="004E376B"/>
    <w:rsid w:val="004F0F9B"/>
    <w:rsid w:val="00526E13"/>
    <w:rsid w:val="005439A2"/>
    <w:rsid w:val="00582B76"/>
    <w:rsid w:val="00592D52"/>
    <w:rsid w:val="005B394B"/>
    <w:rsid w:val="005B77CA"/>
    <w:rsid w:val="005E78B6"/>
    <w:rsid w:val="00630244"/>
    <w:rsid w:val="00630F0B"/>
    <w:rsid w:val="00691CC1"/>
    <w:rsid w:val="006B56F1"/>
    <w:rsid w:val="006C7D50"/>
    <w:rsid w:val="006E5A9E"/>
    <w:rsid w:val="006F140C"/>
    <w:rsid w:val="006F2395"/>
    <w:rsid w:val="006F5966"/>
    <w:rsid w:val="00754057"/>
    <w:rsid w:val="00785C3A"/>
    <w:rsid w:val="00790F57"/>
    <w:rsid w:val="007B08DC"/>
    <w:rsid w:val="007B435F"/>
    <w:rsid w:val="007C61F6"/>
    <w:rsid w:val="007D1145"/>
    <w:rsid w:val="007E18F6"/>
    <w:rsid w:val="007F0FD5"/>
    <w:rsid w:val="007F2235"/>
    <w:rsid w:val="0080506F"/>
    <w:rsid w:val="00835785"/>
    <w:rsid w:val="00837F93"/>
    <w:rsid w:val="00843B2C"/>
    <w:rsid w:val="0089382F"/>
    <w:rsid w:val="008A1E0F"/>
    <w:rsid w:val="008C0C79"/>
    <w:rsid w:val="00903E7C"/>
    <w:rsid w:val="00916B4B"/>
    <w:rsid w:val="00926CE5"/>
    <w:rsid w:val="00950AFD"/>
    <w:rsid w:val="0097735C"/>
    <w:rsid w:val="009936A1"/>
    <w:rsid w:val="009E309C"/>
    <w:rsid w:val="00A10E0E"/>
    <w:rsid w:val="00A1273E"/>
    <w:rsid w:val="00A21BC4"/>
    <w:rsid w:val="00A41204"/>
    <w:rsid w:val="00A513FC"/>
    <w:rsid w:val="00A53174"/>
    <w:rsid w:val="00A65195"/>
    <w:rsid w:val="00A83000"/>
    <w:rsid w:val="00A83101"/>
    <w:rsid w:val="00AA6093"/>
    <w:rsid w:val="00AB0C5A"/>
    <w:rsid w:val="00AB7FCB"/>
    <w:rsid w:val="00B13909"/>
    <w:rsid w:val="00B5253A"/>
    <w:rsid w:val="00B55B94"/>
    <w:rsid w:val="00B60662"/>
    <w:rsid w:val="00B91646"/>
    <w:rsid w:val="00BA7D9D"/>
    <w:rsid w:val="00BC1325"/>
    <w:rsid w:val="00BE444A"/>
    <w:rsid w:val="00BF0588"/>
    <w:rsid w:val="00BF1818"/>
    <w:rsid w:val="00C04663"/>
    <w:rsid w:val="00C22BAF"/>
    <w:rsid w:val="00C34153"/>
    <w:rsid w:val="00C40AE0"/>
    <w:rsid w:val="00C4501F"/>
    <w:rsid w:val="00C8719A"/>
    <w:rsid w:val="00CA04C3"/>
    <w:rsid w:val="00CD187A"/>
    <w:rsid w:val="00CD2945"/>
    <w:rsid w:val="00CD6639"/>
    <w:rsid w:val="00CE005D"/>
    <w:rsid w:val="00CE3EA4"/>
    <w:rsid w:val="00D01DFA"/>
    <w:rsid w:val="00D225BE"/>
    <w:rsid w:val="00D555C1"/>
    <w:rsid w:val="00D75747"/>
    <w:rsid w:val="00D85482"/>
    <w:rsid w:val="00DB27AD"/>
    <w:rsid w:val="00DC7A51"/>
    <w:rsid w:val="00DD45AD"/>
    <w:rsid w:val="00E17E29"/>
    <w:rsid w:val="00E20EA9"/>
    <w:rsid w:val="00E26AB9"/>
    <w:rsid w:val="00E93EA8"/>
    <w:rsid w:val="00EA6BCE"/>
    <w:rsid w:val="00EB5159"/>
    <w:rsid w:val="00EB5F6B"/>
    <w:rsid w:val="00F475FB"/>
    <w:rsid w:val="00F66C91"/>
    <w:rsid w:val="00F774DE"/>
    <w:rsid w:val="00F83283"/>
    <w:rsid w:val="00FC18B3"/>
    <w:rsid w:val="00FE04AE"/>
    <w:rsid w:val="00FE79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0C23"/>
  <w15:chartTrackingRefBased/>
  <w15:docId w15:val="{E2F2152A-7E15-4738-A96E-6FA6BE81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86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043864"/>
    <w:pPr>
      <w:spacing w:after="200" w:line="240" w:lineRule="auto"/>
    </w:pPr>
    <w:rPr>
      <w:i/>
      <w:iCs/>
      <w:color w:val="44546A" w:themeColor="text2"/>
      <w:sz w:val="18"/>
      <w:szCs w:val="18"/>
    </w:rPr>
  </w:style>
  <w:style w:type="character" w:styleId="Refdecomentario">
    <w:name w:val="annotation reference"/>
    <w:basedOn w:val="Fuentedeprrafopredeter"/>
    <w:uiPriority w:val="99"/>
    <w:semiHidden/>
    <w:unhideWhenUsed/>
    <w:rsid w:val="00043864"/>
    <w:rPr>
      <w:sz w:val="16"/>
      <w:szCs w:val="16"/>
    </w:rPr>
  </w:style>
  <w:style w:type="paragraph" w:styleId="Textocomentario">
    <w:name w:val="annotation text"/>
    <w:basedOn w:val="Normal"/>
    <w:link w:val="TextocomentarioCar"/>
    <w:uiPriority w:val="99"/>
    <w:semiHidden/>
    <w:unhideWhenUsed/>
    <w:rsid w:val="000438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3864"/>
    <w:rPr>
      <w:sz w:val="20"/>
      <w:szCs w:val="20"/>
      <w:lang w:val="es-CO"/>
    </w:rPr>
  </w:style>
  <w:style w:type="table" w:styleId="Tablaconcuadrcula">
    <w:name w:val="Table Grid"/>
    <w:basedOn w:val="Tablanormal"/>
    <w:uiPriority w:val="39"/>
    <w:rsid w:val="0004386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438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864"/>
    <w:rPr>
      <w:rFonts w:ascii="Segoe UI" w:hAnsi="Segoe UI" w:cs="Segoe UI"/>
      <w:sz w:val="18"/>
      <w:szCs w:val="18"/>
      <w:lang w:val="es-CO"/>
    </w:rPr>
  </w:style>
  <w:style w:type="paragraph" w:styleId="Asuntodelcomentario">
    <w:name w:val="annotation subject"/>
    <w:basedOn w:val="Textocomentario"/>
    <w:next w:val="Textocomentario"/>
    <w:link w:val="AsuntodelcomentarioCar"/>
    <w:uiPriority w:val="99"/>
    <w:semiHidden/>
    <w:unhideWhenUsed/>
    <w:rsid w:val="00B60662"/>
    <w:rPr>
      <w:b/>
      <w:bCs/>
    </w:rPr>
  </w:style>
  <w:style w:type="character" w:customStyle="1" w:styleId="AsuntodelcomentarioCar">
    <w:name w:val="Asunto del comentario Car"/>
    <w:basedOn w:val="TextocomentarioCar"/>
    <w:link w:val="Asuntodelcomentario"/>
    <w:uiPriority w:val="99"/>
    <w:semiHidden/>
    <w:rsid w:val="00B60662"/>
    <w:rPr>
      <w:b/>
      <w:bCs/>
      <w:sz w:val="20"/>
      <w:szCs w:val="20"/>
      <w:lang w:val="es-CO"/>
    </w:rPr>
  </w:style>
  <w:style w:type="paragraph" w:styleId="Revisin">
    <w:name w:val="Revision"/>
    <w:hidden/>
    <w:uiPriority w:val="99"/>
    <w:semiHidden/>
    <w:rsid w:val="00DD45AD"/>
    <w:pPr>
      <w:spacing w:after="0" w:line="240" w:lineRule="auto"/>
    </w:pPr>
    <w:rPr>
      <w:lang w:val="es-CO"/>
    </w:rPr>
  </w:style>
  <w:style w:type="paragraph" w:styleId="Prrafodelista">
    <w:name w:val="List Paragraph"/>
    <w:basedOn w:val="Normal"/>
    <w:uiPriority w:val="34"/>
    <w:qFormat/>
    <w:rsid w:val="00361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2790">
      <w:bodyDiv w:val="1"/>
      <w:marLeft w:val="0"/>
      <w:marRight w:val="0"/>
      <w:marTop w:val="0"/>
      <w:marBottom w:val="0"/>
      <w:divBdr>
        <w:top w:val="none" w:sz="0" w:space="0" w:color="auto"/>
        <w:left w:val="none" w:sz="0" w:space="0" w:color="auto"/>
        <w:bottom w:val="none" w:sz="0" w:space="0" w:color="auto"/>
        <w:right w:val="none" w:sz="0" w:space="0" w:color="auto"/>
      </w:divBdr>
    </w:div>
    <w:div w:id="212927851">
      <w:bodyDiv w:val="1"/>
      <w:marLeft w:val="0"/>
      <w:marRight w:val="0"/>
      <w:marTop w:val="0"/>
      <w:marBottom w:val="0"/>
      <w:divBdr>
        <w:top w:val="none" w:sz="0" w:space="0" w:color="auto"/>
        <w:left w:val="none" w:sz="0" w:space="0" w:color="auto"/>
        <w:bottom w:val="none" w:sz="0" w:space="0" w:color="auto"/>
        <w:right w:val="none" w:sz="0" w:space="0" w:color="auto"/>
      </w:divBdr>
    </w:div>
    <w:div w:id="400099140">
      <w:bodyDiv w:val="1"/>
      <w:marLeft w:val="0"/>
      <w:marRight w:val="0"/>
      <w:marTop w:val="0"/>
      <w:marBottom w:val="0"/>
      <w:divBdr>
        <w:top w:val="none" w:sz="0" w:space="0" w:color="auto"/>
        <w:left w:val="none" w:sz="0" w:space="0" w:color="auto"/>
        <w:bottom w:val="none" w:sz="0" w:space="0" w:color="auto"/>
        <w:right w:val="none" w:sz="0" w:space="0" w:color="auto"/>
      </w:divBdr>
    </w:div>
    <w:div w:id="1048333691">
      <w:bodyDiv w:val="1"/>
      <w:marLeft w:val="0"/>
      <w:marRight w:val="0"/>
      <w:marTop w:val="0"/>
      <w:marBottom w:val="0"/>
      <w:divBdr>
        <w:top w:val="none" w:sz="0" w:space="0" w:color="auto"/>
        <w:left w:val="none" w:sz="0" w:space="0" w:color="auto"/>
        <w:bottom w:val="none" w:sz="0" w:space="0" w:color="auto"/>
        <w:right w:val="none" w:sz="0" w:space="0" w:color="auto"/>
      </w:divBdr>
    </w:div>
    <w:div w:id="196195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ILIANA%20HILARION\Dropbox\GinayLiliana\Ciudades\Puerto%20Carre&#241;o\estimaciones_Mpio%20-Puerto%20Carre&#241;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resultados!$H$61</c:f>
          <c:strCache>
            <c:ptCount val="1"/>
            <c:pt idx="0">
              <c:v>Camas diarias de UCI</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0.14681073862297317"/>
          <c:y val="0.12190511887079003"/>
          <c:w val="0.79142479637767027"/>
          <c:h val="0.59451110040115018"/>
        </c:manualLayout>
      </c:layout>
      <c:scatterChart>
        <c:scatterStyle val="smoothMarker"/>
        <c:varyColors val="0"/>
        <c:ser>
          <c:idx val="0"/>
          <c:order val="0"/>
          <c:tx>
            <c:strRef>
              <c:f>Servicios!$A$2</c:f>
              <c:strCache>
                <c:ptCount val="1"/>
                <c:pt idx="0">
                  <c:v>No hacer nada</c:v>
                </c:pt>
              </c:strCache>
            </c:strRef>
          </c:tx>
          <c:spPr>
            <a:ln w="19050" cap="rnd">
              <a:solidFill>
                <a:schemeClr val="accent1"/>
              </a:solidFill>
              <a:round/>
            </a:ln>
            <a:effectLst/>
          </c:spPr>
          <c:marker>
            <c:symbol val="none"/>
          </c:marker>
          <c:xVal>
            <c:numRef>
              <c:f>Servicios!$C$1:$KM$1</c:f>
              <c:numCache>
                <c:formatCode>General</c:formatCode>
                <c:ptCount val="297"/>
                <c:pt idx="0">
                  <c:v>4</c:v>
                </c:pt>
                <c:pt idx="1">
                  <c:v>5</c:v>
                </c:pt>
                <c:pt idx="2">
                  <c:v>6</c:v>
                </c:pt>
                <c:pt idx="3">
                  <c:v>7</c:v>
                </c:pt>
                <c:pt idx="4">
                  <c:v>8</c:v>
                </c:pt>
                <c:pt idx="5">
                  <c:v>9</c:v>
                </c:pt>
                <c:pt idx="6">
                  <c:v>10</c:v>
                </c:pt>
                <c:pt idx="7">
                  <c:v>11</c:v>
                </c:pt>
                <c:pt idx="8">
                  <c:v>12</c:v>
                </c:pt>
                <c:pt idx="9">
                  <c:v>13</c:v>
                </c:pt>
                <c:pt idx="10">
                  <c:v>14</c:v>
                </c:pt>
                <c:pt idx="11">
                  <c:v>15</c:v>
                </c:pt>
                <c:pt idx="12">
                  <c:v>16</c:v>
                </c:pt>
                <c:pt idx="13">
                  <c:v>17</c:v>
                </c:pt>
                <c:pt idx="14">
                  <c:v>18</c:v>
                </c:pt>
                <c:pt idx="15">
                  <c:v>19</c:v>
                </c:pt>
                <c:pt idx="16">
                  <c:v>20</c:v>
                </c:pt>
                <c:pt idx="17">
                  <c:v>21</c:v>
                </c:pt>
                <c:pt idx="18">
                  <c:v>22</c:v>
                </c:pt>
                <c:pt idx="19">
                  <c:v>23</c:v>
                </c:pt>
                <c:pt idx="20">
                  <c:v>24</c:v>
                </c:pt>
                <c:pt idx="21">
                  <c:v>25</c:v>
                </c:pt>
                <c:pt idx="22">
                  <c:v>26</c:v>
                </c:pt>
                <c:pt idx="23">
                  <c:v>27</c:v>
                </c:pt>
                <c:pt idx="24">
                  <c:v>28</c:v>
                </c:pt>
                <c:pt idx="25">
                  <c:v>29</c:v>
                </c:pt>
                <c:pt idx="26">
                  <c:v>30</c:v>
                </c:pt>
                <c:pt idx="27">
                  <c:v>31</c:v>
                </c:pt>
                <c:pt idx="28">
                  <c:v>32</c:v>
                </c:pt>
                <c:pt idx="29">
                  <c:v>33</c:v>
                </c:pt>
                <c:pt idx="30">
                  <c:v>34</c:v>
                </c:pt>
                <c:pt idx="31">
                  <c:v>35</c:v>
                </c:pt>
                <c:pt idx="32">
                  <c:v>36</c:v>
                </c:pt>
                <c:pt idx="33">
                  <c:v>37</c:v>
                </c:pt>
                <c:pt idx="34">
                  <c:v>38</c:v>
                </c:pt>
                <c:pt idx="35">
                  <c:v>39</c:v>
                </c:pt>
                <c:pt idx="36">
                  <c:v>40</c:v>
                </c:pt>
                <c:pt idx="37">
                  <c:v>41</c:v>
                </c:pt>
                <c:pt idx="38">
                  <c:v>42</c:v>
                </c:pt>
                <c:pt idx="39">
                  <c:v>43</c:v>
                </c:pt>
                <c:pt idx="40">
                  <c:v>44</c:v>
                </c:pt>
                <c:pt idx="41">
                  <c:v>45</c:v>
                </c:pt>
                <c:pt idx="42">
                  <c:v>46</c:v>
                </c:pt>
                <c:pt idx="43">
                  <c:v>47</c:v>
                </c:pt>
                <c:pt idx="44">
                  <c:v>48</c:v>
                </c:pt>
                <c:pt idx="45">
                  <c:v>49</c:v>
                </c:pt>
                <c:pt idx="46">
                  <c:v>50</c:v>
                </c:pt>
                <c:pt idx="47">
                  <c:v>51</c:v>
                </c:pt>
                <c:pt idx="48">
                  <c:v>52</c:v>
                </c:pt>
                <c:pt idx="49">
                  <c:v>53</c:v>
                </c:pt>
                <c:pt idx="50">
                  <c:v>54</c:v>
                </c:pt>
                <c:pt idx="51">
                  <c:v>55</c:v>
                </c:pt>
                <c:pt idx="52">
                  <c:v>56</c:v>
                </c:pt>
                <c:pt idx="53">
                  <c:v>57</c:v>
                </c:pt>
                <c:pt idx="54">
                  <c:v>58</c:v>
                </c:pt>
                <c:pt idx="55">
                  <c:v>59</c:v>
                </c:pt>
                <c:pt idx="56">
                  <c:v>60</c:v>
                </c:pt>
                <c:pt idx="57">
                  <c:v>61</c:v>
                </c:pt>
                <c:pt idx="58">
                  <c:v>62</c:v>
                </c:pt>
                <c:pt idx="59">
                  <c:v>63</c:v>
                </c:pt>
                <c:pt idx="60">
                  <c:v>64</c:v>
                </c:pt>
                <c:pt idx="61">
                  <c:v>65</c:v>
                </c:pt>
                <c:pt idx="62">
                  <c:v>66</c:v>
                </c:pt>
                <c:pt idx="63">
                  <c:v>67</c:v>
                </c:pt>
                <c:pt idx="64">
                  <c:v>68</c:v>
                </c:pt>
                <c:pt idx="65">
                  <c:v>69</c:v>
                </c:pt>
                <c:pt idx="66">
                  <c:v>70</c:v>
                </c:pt>
                <c:pt idx="67">
                  <c:v>71</c:v>
                </c:pt>
                <c:pt idx="68">
                  <c:v>72</c:v>
                </c:pt>
                <c:pt idx="69">
                  <c:v>73</c:v>
                </c:pt>
                <c:pt idx="70">
                  <c:v>74</c:v>
                </c:pt>
                <c:pt idx="71">
                  <c:v>75</c:v>
                </c:pt>
                <c:pt idx="72">
                  <c:v>76</c:v>
                </c:pt>
                <c:pt idx="73">
                  <c:v>77</c:v>
                </c:pt>
                <c:pt idx="74">
                  <c:v>78</c:v>
                </c:pt>
                <c:pt idx="75">
                  <c:v>79</c:v>
                </c:pt>
                <c:pt idx="76">
                  <c:v>80</c:v>
                </c:pt>
                <c:pt idx="77">
                  <c:v>81</c:v>
                </c:pt>
                <c:pt idx="78">
                  <c:v>82</c:v>
                </c:pt>
                <c:pt idx="79">
                  <c:v>83</c:v>
                </c:pt>
                <c:pt idx="80">
                  <c:v>84</c:v>
                </c:pt>
                <c:pt idx="81">
                  <c:v>85</c:v>
                </c:pt>
                <c:pt idx="82">
                  <c:v>86</c:v>
                </c:pt>
                <c:pt idx="83">
                  <c:v>87</c:v>
                </c:pt>
                <c:pt idx="84">
                  <c:v>88</c:v>
                </c:pt>
                <c:pt idx="85">
                  <c:v>89</c:v>
                </c:pt>
                <c:pt idx="86">
                  <c:v>90</c:v>
                </c:pt>
                <c:pt idx="87">
                  <c:v>91</c:v>
                </c:pt>
                <c:pt idx="88">
                  <c:v>92</c:v>
                </c:pt>
                <c:pt idx="89">
                  <c:v>93</c:v>
                </c:pt>
                <c:pt idx="90">
                  <c:v>94</c:v>
                </c:pt>
                <c:pt idx="91">
                  <c:v>95</c:v>
                </c:pt>
                <c:pt idx="92">
                  <c:v>96</c:v>
                </c:pt>
                <c:pt idx="93">
                  <c:v>97</c:v>
                </c:pt>
                <c:pt idx="94">
                  <c:v>98</c:v>
                </c:pt>
                <c:pt idx="95">
                  <c:v>99</c:v>
                </c:pt>
                <c:pt idx="96">
                  <c:v>100</c:v>
                </c:pt>
                <c:pt idx="97">
                  <c:v>101</c:v>
                </c:pt>
                <c:pt idx="98">
                  <c:v>102</c:v>
                </c:pt>
                <c:pt idx="99">
                  <c:v>103</c:v>
                </c:pt>
                <c:pt idx="100">
                  <c:v>104</c:v>
                </c:pt>
                <c:pt idx="101">
                  <c:v>105</c:v>
                </c:pt>
                <c:pt idx="102">
                  <c:v>106</c:v>
                </c:pt>
                <c:pt idx="103">
                  <c:v>107</c:v>
                </c:pt>
                <c:pt idx="104">
                  <c:v>108</c:v>
                </c:pt>
                <c:pt idx="105">
                  <c:v>109</c:v>
                </c:pt>
                <c:pt idx="106">
                  <c:v>110</c:v>
                </c:pt>
                <c:pt idx="107">
                  <c:v>111</c:v>
                </c:pt>
                <c:pt idx="108">
                  <c:v>112</c:v>
                </c:pt>
                <c:pt idx="109">
                  <c:v>113</c:v>
                </c:pt>
                <c:pt idx="110">
                  <c:v>114</c:v>
                </c:pt>
                <c:pt idx="111">
                  <c:v>115</c:v>
                </c:pt>
                <c:pt idx="112">
                  <c:v>116</c:v>
                </c:pt>
                <c:pt idx="113">
                  <c:v>117</c:v>
                </c:pt>
                <c:pt idx="114">
                  <c:v>118</c:v>
                </c:pt>
                <c:pt idx="115">
                  <c:v>119</c:v>
                </c:pt>
                <c:pt idx="116">
                  <c:v>120</c:v>
                </c:pt>
                <c:pt idx="117">
                  <c:v>121</c:v>
                </c:pt>
                <c:pt idx="118">
                  <c:v>122</c:v>
                </c:pt>
                <c:pt idx="119">
                  <c:v>123</c:v>
                </c:pt>
                <c:pt idx="120">
                  <c:v>124</c:v>
                </c:pt>
                <c:pt idx="121">
                  <c:v>125</c:v>
                </c:pt>
                <c:pt idx="122">
                  <c:v>126</c:v>
                </c:pt>
                <c:pt idx="123">
                  <c:v>127</c:v>
                </c:pt>
                <c:pt idx="124">
                  <c:v>128</c:v>
                </c:pt>
                <c:pt idx="125">
                  <c:v>129</c:v>
                </c:pt>
                <c:pt idx="126">
                  <c:v>130</c:v>
                </c:pt>
                <c:pt idx="127">
                  <c:v>131</c:v>
                </c:pt>
                <c:pt idx="128">
                  <c:v>132</c:v>
                </c:pt>
                <c:pt idx="129">
                  <c:v>133</c:v>
                </c:pt>
                <c:pt idx="130">
                  <c:v>134</c:v>
                </c:pt>
                <c:pt idx="131">
                  <c:v>135</c:v>
                </c:pt>
                <c:pt idx="132">
                  <c:v>136</c:v>
                </c:pt>
                <c:pt idx="133">
                  <c:v>137</c:v>
                </c:pt>
                <c:pt idx="134">
                  <c:v>138</c:v>
                </c:pt>
                <c:pt idx="135">
                  <c:v>139</c:v>
                </c:pt>
                <c:pt idx="136">
                  <c:v>140</c:v>
                </c:pt>
                <c:pt idx="137">
                  <c:v>141</c:v>
                </c:pt>
                <c:pt idx="138">
                  <c:v>142</c:v>
                </c:pt>
                <c:pt idx="139">
                  <c:v>143</c:v>
                </c:pt>
                <c:pt idx="140">
                  <c:v>144</c:v>
                </c:pt>
                <c:pt idx="141">
                  <c:v>145</c:v>
                </c:pt>
                <c:pt idx="142">
                  <c:v>146</c:v>
                </c:pt>
                <c:pt idx="143">
                  <c:v>147</c:v>
                </c:pt>
                <c:pt idx="144">
                  <c:v>148</c:v>
                </c:pt>
                <c:pt idx="145">
                  <c:v>149</c:v>
                </c:pt>
                <c:pt idx="146">
                  <c:v>150</c:v>
                </c:pt>
                <c:pt idx="147">
                  <c:v>151</c:v>
                </c:pt>
                <c:pt idx="148">
                  <c:v>152</c:v>
                </c:pt>
                <c:pt idx="149">
                  <c:v>153</c:v>
                </c:pt>
                <c:pt idx="150">
                  <c:v>154</c:v>
                </c:pt>
                <c:pt idx="151">
                  <c:v>155</c:v>
                </c:pt>
                <c:pt idx="152">
                  <c:v>156</c:v>
                </c:pt>
                <c:pt idx="153">
                  <c:v>157</c:v>
                </c:pt>
                <c:pt idx="154">
                  <c:v>158</c:v>
                </c:pt>
                <c:pt idx="155">
                  <c:v>159</c:v>
                </c:pt>
                <c:pt idx="156">
                  <c:v>160</c:v>
                </c:pt>
                <c:pt idx="157">
                  <c:v>161</c:v>
                </c:pt>
                <c:pt idx="158">
                  <c:v>162</c:v>
                </c:pt>
                <c:pt idx="159">
                  <c:v>163</c:v>
                </c:pt>
                <c:pt idx="160">
                  <c:v>164</c:v>
                </c:pt>
                <c:pt idx="161">
                  <c:v>165</c:v>
                </c:pt>
                <c:pt idx="162">
                  <c:v>166</c:v>
                </c:pt>
                <c:pt idx="163">
                  <c:v>167</c:v>
                </c:pt>
                <c:pt idx="164">
                  <c:v>168</c:v>
                </c:pt>
                <c:pt idx="165">
                  <c:v>169</c:v>
                </c:pt>
                <c:pt idx="166">
                  <c:v>170</c:v>
                </c:pt>
                <c:pt idx="167">
                  <c:v>171</c:v>
                </c:pt>
                <c:pt idx="168">
                  <c:v>172</c:v>
                </c:pt>
                <c:pt idx="169">
                  <c:v>173</c:v>
                </c:pt>
                <c:pt idx="170">
                  <c:v>174</c:v>
                </c:pt>
                <c:pt idx="171">
                  <c:v>175</c:v>
                </c:pt>
                <c:pt idx="172">
                  <c:v>176</c:v>
                </c:pt>
                <c:pt idx="173">
                  <c:v>177</c:v>
                </c:pt>
                <c:pt idx="174">
                  <c:v>178</c:v>
                </c:pt>
                <c:pt idx="175">
                  <c:v>179</c:v>
                </c:pt>
                <c:pt idx="176">
                  <c:v>180</c:v>
                </c:pt>
                <c:pt idx="177">
                  <c:v>181</c:v>
                </c:pt>
                <c:pt idx="178">
                  <c:v>182</c:v>
                </c:pt>
                <c:pt idx="179">
                  <c:v>183</c:v>
                </c:pt>
                <c:pt idx="180">
                  <c:v>184</c:v>
                </c:pt>
                <c:pt idx="181">
                  <c:v>185</c:v>
                </c:pt>
                <c:pt idx="182">
                  <c:v>186</c:v>
                </c:pt>
                <c:pt idx="183">
                  <c:v>187</c:v>
                </c:pt>
                <c:pt idx="184">
                  <c:v>188</c:v>
                </c:pt>
                <c:pt idx="185">
                  <c:v>189</c:v>
                </c:pt>
                <c:pt idx="186">
                  <c:v>190</c:v>
                </c:pt>
                <c:pt idx="187">
                  <c:v>191</c:v>
                </c:pt>
                <c:pt idx="188">
                  <c:v>192</c:v>
                </c:pt>
                <c:pt idx="189">
                  <c:v>193</c:v>
                </c:pt>
                <c:pt idx="190">
                  <c:v>194</c:v>
                </c:pt>
                <c:pt idx="191">
                  <c:v>195</c:v>
                </c:pt>
                <c:pt idx="192">
                  <c:v>196</c:v>
                </c:pt>
                <c:pt idx="193">
                  <c:v>197</c:v>
                </c:pt>
                <c:pt idx="194">
                  <c:v>198</c:v>
                </c:pt>
                <c:pt idx="195">
                  <c:v>199</c:v>
                </c:pt>
                <c:pt idx="196">
                  <c:v>200</c:v>
                </c:pt>
                <c:pt idx="197">
                  <c:v>201</c:v>
                </c:pt>
                <c:pt idx="198">
                  <c:v>202</c:v>
                </c:pt>
                <c:pt idx="199">
                  <c:v>203</c:v>
                </c:pt>
                <c:pt idx="200">
                  <c:v>204</c:v>
                </c:pt>
                <c:pt idx="201">
                  <c:v>205</c:v>
                </c:pt>
                <c:pt idx="202">
                  <c:v>206</c:v>
                </c:pt>
                <c:pt idx="203">
                  <c:v>207</c:v>
                </c:pt>
                <c:pt idx="204">
                  <c:v>208</c:v>
                </c:pt>
                <c:pt idx="205">
                  <c:v>209</c:v>
                </c:pt>
                <c:pt idx="206">
                  <c:v>210</c:v>
                </c:pt>
                <c:pt idx="207">
                  <c:v>211</c:v>
                </c:pt>
                <c:pt idx="208">
                  <c:v>212</c:v>
                </c:pt>
                <c:pt idx="209">
                  <c:v>213</c:v>
                </c:pt>
                <c:pt idx="210">
                  <c:v>214</c:v>
                </c:pt>
                <c:pt idx="211">
                  <c:v>215</c:v>
                </c:pt>
                <c:pt idx="212">
                  <c:v>216</c:v>
                </c:pt>
                <c:pt idx="213">
                  <c:v>217</c:v>
                </c:pt>
                <c:pt idx="214">
                  <c:v>218</c:v>
                </c:pt>
                <c:pt idx="215">
                  <c:v>219</c:v>
                </c:pt>
                <c:pt idx="216">
                  <c:v>220</c:v>
                </c:pt>
                <c:pt idx="217">
                  <c:v>221</c:v>
                </c:pt>
                <c:pt idx="218">
                  <c:v>222</c:v>
                </c:pt>
                <c:pt idx="219">
                  <c:v>223</c:v>
                </c:pt>
                <c:pt idx="220">
                  <c:v>224</c:v>
                </c:pt>
                <c:pt idx="221">
                  <c:v>225</c:v>
                </c:pt>
                <c:pt idx="222">
                  <c:v>226</c:v>
                </c:pt>
                <c:pt idx="223">
                  <c:v>227</c:v>
                </c:pt>
                <c:pt idx="224">
                  <c:v>228</c:v>
                </c:pt>
                <c:pt idx="225">
                  <c:v>229</c:v>
                </c:pt>
                <c:pt idx="226">
                  <c:v>230</c:v>
                </c:pt>
                <c:pt idx="227">
                  <c:v>231</c:v>
                </c:pt>
                <c:pt idx="228">
                  <c:v>232</c:v>
                </c:pt>
                <c:pt idx="229">
                  <c:v>233</c:v>
                </c:pt>
                <c:pt idx="230">
                  <c:v>234</c:v>
                </c:pt>
                <c:pt idx="231">
                  <c:v>235</c:v>
                </c:pt>
                <c:pt idx="232">
                  <c:v>236</c:v>
                </c:pt>
                <c:pt idx="233">
                  <c:v>237</c:v>
                </c:pt>
                <c:pt idx="234">
                  <c:v>238</c:v>
                </c:pt>
                <c:pt idx="235">
                  <c:v>239</c:v>
                </c:pt>
                <c:pt idx="236">
                  <c:v>240</c:v>
                </c:pt>
                <c:pt idx="237">
                  <c:v>241</c:v>
                </c:pt>
                <c:pt idx="238">
                  <c:v>242</c:v>
                </c:pt>
                <c:pt idx="239">
                  <c:v>243</c:v>
                </c:pt>
                <c:pt idx="240">
                  <c:v>244</c:v>
                </c:pt>
                <c:pt idx="241">
                  <c:v>245</c:v>
                </c:pt>
                <c:pt idx="242">
                  <c:v>246</c:v>
                </c:pt>
                <c:pt idx="243">
                  <c:v>247</c:v>
                </c:pt>
                <c:pt idx="244">
                  <c:v>248</c:v>
                </c:pt>
                <c:pt idx="245">
                  <c:v>249</c:v>
                </c:pt>
                <c:pt idx="246">
                  <c:v>250</c:v>
                </c:pt>
                <c:pt idx="247">
                  <c:v>251</c:v>
                </c:pt>
                <c:pt idx="248">
                  <c:v>252</c:v>
                </c:pt>
                <c:pt idx="249">
                  <c:v>253</c:v>
                </c:pt>
                <c:pt idx="250">
                  <c:v>254</c:v>
                </c:pt>
                <c:pt idx="251">
                  <c:v>255</c:v>
                </c:pt>
                <c:pt idx="252">
                  <c:v>256</c:v>
                </c:pt>
                <c:pt idx="253">
                  <c:v>257</c:v>
                </c:pt>
                <c:pt idx="254">
                  <c:v>258</c:v>
                </c:pt>
                <c:pt idx="255">
                  <c:v>259</c:v>
                </c:pt>
                <c:pt idx="256">
                  <c:v>260</c:v>
                </c:pt>
                <c:pt idx="257">
                  <c:v>261</c:v>
                </c:pt>
                <c:pt idx="258">
                  <c:v>262</c:v>
                </c:pt>
                <c:pt idx="259">
                  <c:v>263</c:v>
                </c:pt>
                <c:pt idx="260">
                  <c:v>264</c:v>
                </c:pt>
                <c:pt idx="261">
                  <c:v>265</c:v>
                </c:pt>
                <c:pt idx="262">
                  <c:v>266</c:v>
                </c:pt>
                <c:pt idx="263">
                  <c:v>267</c:v>
                </c:pt>
                <c:pt idx="264">
                  <c:v>268</c:v>
                </c:pt>
                <c:pt idx="265">
                  <c:v>269</c:v>
                </c:pt>
                <c:pt idx="266">
                  <c:v>270</c:v>
                </c:pt>
                <c:pt idx="267">
                  <c:v>271</c:v>
                </c:pt>
                <c:pt idx="268">
                  <c:v>272</c:v>
                </c:pt>
                <c:pt idx="269">
                  <c:v>273</c:v>
                </c:pt>
                <c:pt idx="270">
                  <c:v>274</c:v>
                </c:pt>
                <c:pt idx="271">
                  <c:v>275</c:v>
                </c:pt>
                <c:pt idx="272">
                  <c:v>276</c:v>
                </c:pt>
                <c:pt idx="273">
                  <c:v>277</c:v>
                </c:pt>
                <c:pt idx="274">
                  <c:v>278</c:v>
                </c:pt>
                <c:pt idx="275">
                  <c:v>279</c:v>
                </c:pt>
                <c:pt idx="276">
                  <c:v>280</c:v>
                </c:pt>
                <c:pt idx="277">
                  <c:v>281</c:v>
                </c:pt>
                <c:pt idx="278">
                  <c:v>282</c:v>
                </c:pt>
                <c:pt idx="279">
                  <c:v>283</c:v>
                </c:pt>
                <c:pt idx="280">
                  <c:v>284</c:v>
                </c:pt>
                <c:pt idx="281">
                  <c:v>285</c:v>
                </c:pt>
                <c:pt idx="282">
                  <c:v>286</c:v>
                </c:pt>
                <c:pt idx="283">
                  <c:v>287</c:v>
                </c:pt>
                <c:pt idx="284">
                  <c:v>288</c:v>
                </c:pt>
                <c:pt idx="285">
                  <c:v>289</c:v>
                </c:pt>
                <c:pt idx="286">
                  <c:v>290</c:v>
                </c:pt>
                <c:pt idx="287">
                  <c:v>291</c:v>
                </c:pt>
                <c:pt idx="288">
                  <c:v>292</c:v>
                </c:pt>
                <c:pt idx="289">
                  <c:v>293</c:v>
                </c:pt>
                <c:pt idx="290">
                  <c:v>294</c:v>
                </c:pt>
                <c:pt idx="291">
                  <c:v>295</c:v>
                </c:pt>
                <c:pt idx="292">
                  <c:v>296</c:v>
                </c:pt>
                <c:pt idx="293">
                  <c:v>297</c:v>
                </c:pt>
                <c:pt idx="294">
                  <c:v>298</c:v>
                </c:pt>
                <c:pt idx="295">
                  <c:v>299</c:v>
                </c:pt>
                <c:pt idx="296">
                  <c:v>300</c:v>
                </c:pt>
              </c:numCache>
            </c:numRef>
          </c:xVal>
          <c:yVal>
            <c:numRef>
              <c:f>Servicios!$C$2:$KM$2</c:f>
              <c:numCache>
                <c:formatCode>_(* #,##0_);_(* \(#,##0\);_(* "-"??_);_(@_)</c:formatCode>
                <c:ptCount val="297"/>
                <c:pt idx="0">
                  <c:v>9.3977259934706729E-3</c:v>
                </c:pt>
                <c:pt idx="1">
                  <c:v>9.3977259934706729E-3</c:v>
                </c:pt>
                <c:pt idx="2">
                  <c:v>1.8795451986941346E-2</c:v>
                </c:pt>
                <c:pt idx="3">
                  <c:v>2.8193177980412019E-2</c:v>
                </c:pt>
                <c:pt idx="4">
                  <c:v>2.8193177980412019E-2</c:v>
                </c:pt>
                <c:pt idx="5">
                  <c:v>4.6988629967353368E-2</c:v>
                </c:pt>
                <c:pt idx="6">
                  <c:v>5.6386355960824044E-2</c:v>
                </c:pt>
                <c:pt idx="7">
                  <c:v>7.5181807947765383E-2</c:v>
                </c:pt>
                <c:pt idx="8">
                  <c:v>9.3977259934706736E-2</c:v>
                </c:pt>
                <c:pt idx="9">
                  <c:v>0.11277271192164809</c:v>
                </c:pt>
                <c:pt idx="10">
                  <c:v>0.1409658899020601</c:v>
                </c:pt>
                <c:pt idx="11">
                  <c:v>0.17855679387594281</c:v>
                </c:pt>
                <c:pt idx="12">
                  <c:v>0.21614769784982552</c:v>
                </c:pt>
                <c:pt idx="13">
                  <c:v>0.27253405381064955</c:v>
                </c:pt>
                <c:pt idx="14">
                  <c:v>0.34771586175841496</c:v>
                </c:pt>
                <c:pt idx="15">
                  <c:v>0.43229539569965092</c:v>
                </c:pt>
                <c:pt idx="16">
                  <c:v>0.54506810762129898</c:v>
                </c:pt>
                <c:pt idx="17">
                  <c:v>0.68603399752335914</c:v>
                </c:pt>
                <c:pt idx="18">
                  <c:v>0.87398851739277261</c:v>
                </c:pt>
                <c:pt idx="19">
                  <c:v>1.1089316672295395</c:v>
                </c:pt>
                <c:pt idx="20">
                  <c:v>1.3908634470336594</c:v>
                </c:pt>
                <c:pt idx="21">
                  <c:v>1.7667724867724863</c:v>
                </c:pt>
                <c:pt idx="22">
                  <c:v>2.2272610604525496</c:v>
                </c:pt>
                <c:pt idx="23">
                  <c:v>2.8005223460542608</c:v>
                </c:pt>
                <c:pt idx="24">
                  <c:v>3.514749521558032</c:v>
                </c:pt>
                <c:pt idx="25">
                  <c:v>4.3981357649442749</c:v>
                </c:pt>
                <c:pt idx="26">
                  <c:v>5.4694765281999311</c:v>
                </c:pt>
                <c:pt idx="27">
                  <c:v>6.7569649893054136</c:v>
                </c:pt>
                <c:pt idx="28">
                  <c:v>8.2793966002476633</c:v>
                </c:pt>
                <c:pt idx="29">
                  <c:v>10.055566813013622</c:v>
                </c:pt>
                <c:pt idx="30">
                  <c:v>12.094873353596757</c:v>
                </c:pt>
                <c:pt idx="31">
                  <c:v>14.369123044016661</c:v>
                </c:pt>
                <c:pt idx="32">
                  <c:v>16.878315884273327</c:v>
                </c:pt>
                <c:pt idx="33">
                  <c:v>19.584860970392882</c:v>
                </c:pt>
                <c:pt idx="34">
                  <c:v>22.432371946414495</c:v>
                </c:pt>
                <c:pt idx="35">
                  <c:v>25.345667004390403</c:v>
                </c:pt>
                <c:pt idx="36">
                  <c:v>28.287155240346724</c:v>
                </c:pt>
                <c:pt idx="37">
                  <c:v>31.16285939434875</c:v>
                </c:pt>
                <c:pt idx="38">
                  <c:v>33.90699538444219</c:v>
                </c:pt>
                <c:pt idx="39">
                  <c:v>36.444381402679269</c:v>
                </c:pt>
                <c:pt idx="40">
                  <c:v>38.709233367105696</c:v>
                </c:pt>
                <c:pt idx="41">
                  <c:v>40.654562647754133</c:v>
                </c:pt>
                <c:pt idx="42">
                  <c:v>42.223982888663734</c:v>
                </c:pt>
                <c:pt idx="43">
                  <c:v>43.389300911854093</c:v>
                </c:pt>
                <c:pt idx="44">
                  <c:v>44.150516717325218</c:v>
                </c:pt>
                <c:pt idx="45">
                  <c:v>44.498232579083634</c:v>
                </c:pt>
                <c:pt idx="46">
                  <c:v>44.441846223122816</c:v>
                </c:pt>
                <c:pt idx="47">
                  <c:v>44.000153101429696</c:v>
                </c:pt>
                <c:pt idx="48">
                  <c:v>43.201346391984686</c:v>
                </c:pt>
                <c:pt idx="49">
                  <c:v>42.092414724755145</c:v>
                </c:pt>
                <c:pt idx="50">
                  <c:v>40.710949003714958</c:v>
                </c:pt>
                <c:pt idx="51">
                  <c:v>39.085142406844525</c:v>
                </c:pt>
                <c:pt idx="52">
                  <c:v>37.290176742091631</c:v>
                </c:pt>
                <c:pt idx="53">
                  <c:v>35.354245187436675</c:v>
                </c:pt>
                <c:pt idx="54">
                  <c:v>33.324336372847007</c:v>
                </c:pt>
                <c:pt idx="55">
                  <c:v>31.247438928289988</c:v>
                </c:pt>
                <c:pt idx="56">
                  <c:v>29.151746031746029</c:v>
                </c:pt>
                <c:pt idx="57">
                  <c:v>27.074848587189013</c:v>
                </c:pt>
                <c:pt idx="58">
                  <c:v>25.044939772599349</c:v>
                </c:pt>
                <c:pt idx="59">
                  <c:v>23.071417313970507</c:v>
                </c:pt>
                <c:pt idx="60">
                  <c:v>21.173076663289429</c:v>
                </c:pt>
                <c:pt idx="61">
                  <c:v>19.387508724530001</c:v>
                </c:pt>
                <c:pt idx="62">
                  <c:v>17.695918045705273</c:v>
                </c:pt>
                <c:pt idx="63">
                  <c:v>16.107702352808737</c:v>
                </c:pt>
                <c:pt idx="64">
                  <c:v>14.632259371833836</c:v>
                </c:pt>
                <c:pt idx="65">
                  <c:v>13.26019137678712</c:v>
                </c:pt>
                <c:pt idx="66">
                  <c:v>12.00089609366205</c:v>
                </c:pt>
                <c:pt idx="67">
                  <c:v>10.844975796465155</c:v>
                </c:pt>
                <c:pt idx="68">
                  <c:v>9.7830327592029693</c:v>
                </c:pt>
                <c:pt idx="69">
                  <c:v>8.8244647078689606</c:v>
                </c:pt>
                <c:pt idx="70">
                  <c:v>7.9504761904761887</c:v>
                </c:pt>
                <c:pt idx="71">
                  <c:v>7.1610672070246517</c:v>
                </c:pt>
                <c:pt idx="72">
                  <c:v>6.4374423055274104</c:v>
                </c:pt>
                <c:pt idx="73">
                  <c:v>5.7983969379714058</c:v>
                </c:pt>
                <c:pt idx="74">
                  <c:v>5.206340200382753</c:v>
                </c:pt>
                <c:pt idx="75">
                  <c:v>4.6894652707418656</c:v>
                </c:pt>
                <c:pt idx="76">
                  <c:v>4.2101812450748621</c:v>
                </c:pt>
                <c:pt idx="77">
                  <c:v>3.7872835753686811</c:v>
                </c:pt>
                <c:pt idx="78">
                  <c:v>3.4113745356298546</c:v>
                </c:pt>
                <c:pt idx="79">
                  <c:v>3.0636586738714393</c:v>
                </c:pt>
                <c:pt idx="80">
                  <c:v>2.7535337160869071</c:v>
                </c:pt>
                <c:pt idx="81">
                  <c:v>2.471601936282787</c:v>
                </c:pt>
                <c:pt idx="82">
                  <c:v>2.2272610604525496</c:v>
                </c:pt>
                <c:pt idx="83">
                  <c:v>2.0017156366092532</c:v>
                </c:pt>
                <c:pt idx="84">
                  <c:v>1.8043633907463692</c:v>
                </c:pt>
                <c:pt idx="85">
                  <c:v>1.6258065968704265</c:v>
                </c:pt>
                <c:pt idx="86">
                  <c:v>1.4660452549814251</c:v>
                </c:pt>
                <c:pt idx="87">
                  <c:v>1.3156816390858943</c:v>
                </c:pt>
                <c:pt idx="88">
                  <c:v>1.1841134751773046</c:v>
                </c:pt>
                <c:pt idx="89">
                  <c:v>1.0713407632556566</c:v>
                </c:pt>
                <c:pt idx="90">
                  <c:v>0.96796577732747946</c:v>
                </c:pt>
                <c:pt idx="91">
                  <c:v>0.87398851739277272</c:v>
                </c:pt>
                <c:pt idx="92">
                  <c:v>0.78940898345153676</c:v>
                </c:pt>
                <c:pt idx="93">
                  <c:v>0.70482944951030069</c:v>
                </c:pt>
                <c:pt idx="94">
                  <c:v>0.64844309354947649</c:v>
                </c:pt>
                <c:pt idx="95">
                  <c:v>0.57326128560171108</c:v>
                </c:pt>
                <c:pt idx="96">
                  <c:v>0.52627265563435766</c:v>
                </c:pt>
                <c:pt idx="97">
                  <c:v>0.4792840256670044</c:v>
                </c:pt>
                <c:pt idx="98">
                  <c:v>0.42289766970618031</c:v>
                </c:pt>
                <c:pt idx="99">
                  <c:v>0.38530676573229766</c:v>
                </c:pt>
                <c:pt idx="100">
                  <c:v>0.3477158617584149</c:v>
                </c:pt>
                <c:pt idx="101">
                  <c:v>0.3101249577845322</c:v>
                </c:pt>
                <c:pt idx="102">
                  <c:v>0.28193177980412015</c:v>
                </c:pt>
                <c:pt idx="103">
                  <c:v>0.26313632781717888</c:v>
                </c:pt>
                <c:pt idx="104">
                  <c:v>0.22554542384329615</c:v>
                </c:pt>
                <c:pt idx="105">
                  <c:v>0.21614769784982549</c:v>
                </c:pt>
                <c:pt idx="106">
                  <c:v>0.18795451986941347</c:v>
                </c:pt>
                <c:pt idx="107">
                  <c:v>0.16915906788247212</c:v>
                </c:pt>
                <c:pt idx="108">
                  <c:v>0.15976134188900143</c:v>
                </c:pt>
                <c:pt idx="109">
                  <c:v>0.14096588990206008</c:v>
                </c:pt>
                <c:pt idx="110">
                  <c:v>0.13156816390858941</c:v>
                </c:pt>
                <c:pt idx="111">
                  <c:v>0.12217043791511878</c:v>
                </c:pt>
                <c:pt idx="112">
                  <c:v>0.10337498592817743</c:v>
                </c:pt>
                <c:pt idx="113">
                  <c:v>9.397725993470675E-2</c:v>
                </c:pt>
                <c:pt idx="114">
                  <c:v>9.397725993470675E-2</c:v>
                </c:pt>
                <c:pt idx="115">
                  <c:v>7.5181807947765397E-2</c:v>
                </c:pt>
                <c:pt idx="116">
                  <c:v>7.5181807947765397E-2</c:v>
                </c:pt>
                <c:pt idx="117">
                  <c:v>6.5784081954294721E-2</c:v>
                </c:pt>
                <c:pt idx="118">
                  <c:v>5.6386355960824044E-2</c:v>
                </c:pt>
                <c:pt idx="119">
                  <c:v>5.6386355960824044E-2</c:v>
                </c:pt>
                <c:pt idx="120">
                  <c:v>4.6988629967353368E-2</c:v>
                </c:pt>
                <c:pt idx="121">
                  <c:v>3.7590903973882692E-2</c:v>
                </c:pt>
                <c:pt idx="122">
                  <c:v>4.6988629967353368E-2</c:v>
                </c:pt>
                <c:pt idx="123">
                  <c:v>3.7590903973882692E-2</c:v>
                </c:pt>
                <c:pt idx="124">
                  <c:v>2.8193177980412019E-2</c:v>
                </c:pt>
                <c:pt idx="125">
                  <c:v>2.8193177980412019E-2</c:v>
                </c:pt>
                <c:pt idx="126">
                  <c:v>1.8795451986941346E-2</c:v>
                </c:pt>
                <c:pt idx="127">
                  <c:v>2.8193177980412019E-2</c:v>
                </c:pt>
                <c:pt idx="128">
                  <c:v>2.8193177980412019E-2</c:v>
                </c:pt>
                <c:pt idx="129">
                  <c:v>1.8795451986941346E-2</c:v>
                </c:pt>
                <c:pt idx="130">
                  <c:v>1.8795451986941346E-2</c:v>
                </c:pt>
                <c:pt idx="131">
                  <c:v>1.8795451986941346E-2</c:v>
                </c:pt>
                <c:pt idx="132">
                  <c:v>9.3977259934706729E-3</c:v>
                </c:pt>
                <c:pt idx="133">
                  <c:v>9.3977259934706729E-3</c:v>
                </c:pt>
                <c:pt idx="134">
                  <c:v>9.3977259934706729E-3</c:v>
                </c:pt>
                <c:pt idx="135">
                  <c:v>9.3977259934706729E-3</c:v>
                </c:pt>
                <c:pt idx="136">
                  <c:v>1.8795451986941346E-2</c:v>
                </c:pt>
                <c:pt idx="137">
                  <c:v>9.3977259934706729E-3</c:v>
                </c:pt>
                <c:pt idx="138">
                  <c:v>9.3977259934706729E-3</c:v>
                </c:pt>
                <c:pt idx="139">
                  <c:v>9.3977259934706729E-3</c:v>
                </c:pt>
                <c:pt idx="140">
                  <c:v>9.3977259934706729E-3</c:v>
                </c:pt>
                <c:pt idx="141">
                  <c:v>9.3977259934706729E-3</c:v>
                </c:pt>
                <c:pt idx="142">
                  <c:v>9.3977259934706729E-3</c:v>
                </c:pt>
                <c:pt idx="143">
                  <c:v>9.3977259934706729E-3</c:v>
                </c:pt>
                <c:pt idx="144">
                  <c:v>9.3977259934706729E-3</c:v>
                </c:pt>
                <c:pt idx="145">
                  <c:v>9.3977259934706729E-3</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numCache>
            </c:numRef>
          </c:yVal>
          <c:smooth val="1"/>
          <c:extLst>
            <c:ext xmlns:c16="http://schemas.microsoft.com/office/drawing/2014/chart" uri="{C3380CC4-5D6E-409C-BE32-E72D297353CC}">
              <c16:uniqueId val="{00000000-5BCC-4130-9DFF-083BB0F3507A}"/>
            </c:ext>
          </c:extLst>
        </c:ser>
        <c:ser>
          <c:idx val="1"/>
          <c:order val="1"/>
          <c:tx>
            <c:strRef>
              <c:f>Servicios!$A$3</c:f>
              <c:strCache>
                <c:ptCount val="1"/>
                <c:pt idx="0">
                  <c:v>Cuarentena Rt 1,2 del 25 de marzo a 26 de abril</c:v>
                </c:pt>
              </c:strCache>
            </c:strRef>
          </c:tx>
          <c:spPr>
            <a:ln w="19050" cap="rnd">
              <a:solidFill>
                <a:schemeClr val="accent2"/>
              </a:solidFill>
              <a:round/>
            </a:ln>
            <a:effectLst/>
          </c:spPr>
          <c:marker>
            <c:symbol val="none"/>
          </c:marker>
          <c:xVal>
            <c:numRef>
              <c:f>Servicios!$C$1:$KM$1</c:f>
              <c:numCache>
                <c:formatCode>General</c:formatCode>
                <c:ptCount val="297"/>
                <c:pt idx="0">
                  <c:v>4</c:v>
                </c:pt>
                <c:pt idx="1">
                  <c:v>5</c:v>
                </c:pt>
                <c:pt idx="2">
                  <c:v>6</c:v>
                </c:pt>
                <c:pt idx="3">
                  <c:v>7</c:v>
                </c:pt>
                <c:pt idx="4">
                  <c:v>8</c:v>
                </c:pt>
                <c:pt idx="5">
                  <c:v>9</c:v>
                </c:pt>
                <c:pt idx="6">
                  <c:v>10</c:v>
                </c:pt>
                <c:pt idx="7">
                  <c:v>11</c:v>
                </c:pt>
                <c:pt idx="8">
                  <c:v>12</c:v>
                </c:pt>
                <c:pt idx="9">
                  <c:v>13</c:v>
                </c:pt>
                <c:pt idx="10">
                  <c:v>14</c:v>
                </c:pt>
                <c:pt idx="11">
                  <c:v>15</c:v>
                </c:pt>
                <c:pt idx="12">
                  <c:v>16</c:v>
                </c:pt>
                <c:pt idx="13">
                  <c:v>17</c:v>
                </c:pt>
                <c:pt idx="14">
                  <c:v>18</c:v>
                </c:pt>
                <c:pt idx="15">
                  <c:v>19</c:v>
                </c:pt>
                <c:pt idx="16">
                  <c:v>20</c:v>
                </c:pt>
                <c:pt idx="17">
                  <c:v>21</c:v>
                </c:pt>
                <c:pt idx="18">
                  <c:v>22</c:v>
                </c:pt>
                <c:pt idx="19">
                  <c:v>23</c:v>
                </c:pt>
                <c:pt idx="20">
                  <c:v>24</c:v>
                </c:pt>
                <c:pt idx="21">
                  <c:v>25</c:v>
                </c:pt>
                <c:pt idx="22">
                  <c:v>26</c:v>
                </c:pt>
                <c:pt idx="23">
                  <c:v>27</c:v>
                </c:pt>
                <c:pt idx="24">
                  <c:v>28</c:v>
                </c:pt>
                <c:pt idx="25">
                  <c:v>29</c:v>
                </c:pt>
                <c:pt idx="26">
                  <c:v>30</c:v>
                </c:pt>
                <c:pt idx="27">
                  <c:v>31</c:v>
                </c:pt>
                <c:pt idx="28">
                  <c:v>32</c:v>
                </c:pt>
                <c:pt idx="29">
                  <c:v>33</c:v>
                </c:pt>
                <c:pt idx="30">
                  <c:v>34</c:v>
                </c:pt>
                <c:pt idx="31">
                  <c:v>35</c:v>
                </c:pt>
                <c:pt idx="32">
                  <c:v>36</c:v>
                </c:pt>
                <c:pt idx="33">
                  <c:v>37</c:v>
                </c:pt>
                <c:pt idx="34">
                  <c:v>38</c:v>
                </c:pt>
                <c:pt idx="35">
                  <c:v>39</c:v>
                </c:pt>
                <c:pt idx="36">
                  <c:v>40</c:v>
                </c:pt>
                <c:pt idx="37">
                  <c:v>41</c:v>
                </c:pt>
                <c:pt idx="38">
                  <c:v>42</c:v>
                </c:pt>
                <c:pt idx="39">
                  <c:v>43</c:v>
                </c:pt>
                <c:pt idx="40">
                  <c:v>44</c:v>
                </c:pt>
                <c:pt idx="41">
                  <c:v>45</c:v>
                </c:pt>
                <c:pt idx="42">
                  <c:v>46</c:v>
                </c:pt>
                <c:pt idx="43">
                  <c:v>47</c:v>
                </c:pt>
                <c:pt idx="44">
                  <c:v>48</c:v>
                </c:pt>
                <c:pt idx="45">
                  <c:v>49</c:v>
                </c:pt>
                <c:pt idx="46">
                  <c:v>50</c:v>
                </c:pt>
                <c:pt idx="47">
                  <c:v>51</c:v>
                </c:pt>
                <c:pt idx="48">
                  <c:v>52</c:v>
                </c:pt>
                <c:pt idx="49">
                  <c:v>53</c:v>
                </c:pt>
                <c:pt idx="50">
                  <c:v>54</c:v>
                </c:pt>
                <c:pt idx="51">
                  <c:v>55</c:v>
                </c:pt>
                <c:pt idx="52">
                  <c:v>56</c:v>
                </c:pt>
                <c:pt idx="53">
                  <c:v>57</c:v>
                </c:pt>
                <c:pt idx="54">
                  <c:v>58</c:v>
                </c:pt>
                <c:pt idx="55">
                  <c:v>59</c:v>
                </c:pt>
                <c:pt idx="56">
                  <c:v>60</c:v>
                </c:pt>
                <c:pt idx="57">
                  <c:v>61</c:v>
                </c:pt>
                <c:pt idx="58">
                  <c:v>62</c:v>
                </c:pt>
                <c:pt idx="59">
                  <c:v>63</c:v>
                </c:pt>
                <c:pt idx="60">
                  <c:v>64</c:v>
                </c:pt>
                <c:pt idx="61">
                  <c:v>65</c:v>
                </c:pt>
                <c:pt idx="62">
                  <c:v>66</c:v>
                </c:pt>
                <c:pt idx="63">
                  <c:v>67</c:v>
                </c:pt>
                <c:pt idx="64">
                  <c:v>68</c:v>
                </c:pt>
                <c:pt idx="65">
                  <c:v>69</c:v>
                </c:pt>
                <c:pt idx="66">
                  <c:v>70</c:v>
                </c:pt>
                <c:pt idx="67">
                  <c:v>71</c:v>
                </c:pt>
                <c:pt idx="68">
                  <c:v>72</c:v>
                </c:pt>
                <c:pt idx="69">
                  <c:v>73</c:v>
                </c:pt>
                <c:pt idx="70">
                  <c:v>74</c:v>
                </c:pt>
                <c:pt idx="71">
                  <c:v>75</c:v>
                </c:pt>
                <c:pt idx="72">
                  <c:v>76</c:v>
                </c:pt>
                <c:pt idx="73">
                  <c:v>77</c:v>
                </c:pt>
                <c:pt idx="74">
                  <c:v>78</c:v>
                </c:pt>
                <c:pt idx="75">
                  <c:v>79</c:v>
                </c:pt>
                <c:pt idx="76">
                  <c:v>80</c:v>
                </c:pt>
                <c:pt idx="77">
                  <c:v>81</c:v>
                </c:pt>
                <c:pt idx="78">
                  <c:v>82</c:v>
                </c:pt>
                <c:pt idx="79">
                  <c:v>83</c:v>
                </c:pt>
                <c:pt idx="80">
                  <c:v>84</c:v>
                </c:pt>
                <c:pt idx="81">
                  <c:v>85</c:v>
                </c:pt>
                <c:pt idx="82">
                  <c:v>86</c:v>
                </c:pt>
                <c:pt idx="83">
                  <c:v>87</c:v>
                </c:pt>
                <c:pt idx="84">
                  <c:v>88</c:v>
                </c:pt>
                <c:pt idx="85">
                  <c:v>89</c:v>
                </c:pt>
                <c:pt idx="86">
                  <c:v>90</c:v>
                </c:pt>
                <c:pt idx="87">
                  <c:v>91</c:v>
                </c:pt>
                <c:pt idx="88">
                  <c:v>92</c:v>
                </c:pt>
                <c:pt idx="89">
                  <c:v>93</c:v>
                </c:pt>
                <c:pt idx="90">
                  <c:v>94</c:v>
                </c:pt>
                <c:pt idx="91">
                  <c:v>95</c:v>
                </c:pt>
                <c:pt idx="92">
                  <c:v>96</c:v>
                </c:pt>
                <c:pt idx="93">
                  <c:v>97</c:v>
                </c:pt>
                <c:pt idx="94">
                  <c:v>98</c:v>
                </c:pt>
                <c:pt idx="95">
                  <c:v>99</c:v>
                </c:pt>
                <c:pt idx="96">
                  <c:v>100</c:v>
                </c:pt>
                <c:pt idx="97">
                  <c:v>101</c:v>
                </c:pt>
                <c:pt idx="98">
                  <c:v>102</c:v>
                </c:pt>
                <c:pt idx="99">
                  <c:v>103</c:v>
                </c:pt>
                <c:pt idx="100">
                  <c:v>104</c:v>
                </c:pt>
                <c:pt idx="101">
                  <c:v>105</c:v>
                </c:pt>
                <c:pt idx="102">
                  <c:v>106</c:v>
                </c:pt>
                <c:pt idx="103">
                  <c:v>107</c:v>
                </c:pt>
                <c:pt idx="104">
                  <c:v>108</c:v>
                </c:pt>
                <c:pt idx="105">
                  <c:v>109</c:v>
                </c:pt>
                <c:pt idx="106">
                  <c:v>110</c:v>
                </c:pt>
                <c:pt idx="107">
                  <c:v>111</c:v>
                </c:pt>
                <c:pt idx="108">
                  <c:v>112</c:v>
                </c:pt>
                <c:pt idx="109">
                  <c:v>113</c:v>
                </c:pt>
                <c:pt idx="110">
                  <c:v>114</c:v>
                </c:pt>
                <c:pt idx="111">
                  <c:v>115</c:v>
                </c:pt>
                <c:pt idx="112">
                  <c:v>116</c:v>
                </c:pt>
                <c:pt idx="113">
                  <c:v>117</c:v>
                </c:pt>
                <c:pt idx="114">
                  <c:v>118</c:v>
                </c:pt>
                <c:pt idx="115">
                  <c:v>119</c:v>
                </c:pt>
                <c:pt idx="116">
                  <c:v>120</c:v>
                </c:pt>
                <c:pt idx="117">
                  <c:v>121</c:v>
                </c:pt>
                <c:pt idx="118">
                  <c:v>122</c:v>
                </c:pt>
                <c:pt idx="119">
                  <c:v>123</c:v>
                </c:pt>
                <c:pt idx="120">
                  <c:v>124</c:v>
                </c:pt>
                <c:pt idx="121">
                  <c:v>125</c:v>
                </c:pt>
                <c:pt idx="122">
                  <c:v>126</c:v>
                </c:pt>
                <c:pt idx="123">
                  <c:v>127</c:v>
                </c:pt>
                <c:pt idx="124">
                  <c:v>128</c:v>
                </c:pt>
                <c:pt idx="125">
                  <c:v>129</c:v>
                </c:pt>
                <c:pt idx="126">
                  <c:v>130</c:v>
                </c:pt>
                <c:pt idx="127">
                  <c:v>131</c:v>
                </c:pt>
                <c:pt idx="128">
                  <c:v>132</c:v>
                </c:pt>
                <c:pt idx="129">
                  <c:v>133</c:v>
                </c:pt>
                <c:pt idx="130">
                  <c:v>134</c:v>
                </c:pt>
                <c:pt idx="131">
                  <c:v>135</c:v>
                </c:pt>
                <c:pt idx="132">
                  <c:v>136</c:v>
                </c:pt>
                <c:pt idx="133">
                  <c:v>137</c:v>
                </c:pt>
                <c:pt idx="134">
                  <c:v>138</c:v>
                </c:pt>
                <c:pt idx="135">
                  <c:v>139</c:v>
                </c:pt>
                <c:pt idx="136">
                  <c:v>140</c:v>
                </c:pt>
                <c:pt idx="137">
                  <c:v>141</c:v>
                </c:pt>
                <c:pt idx="138">
                  <c:v>142</c:v>
                </c:pt>
                <c:pt idx="139">
                  <c:v>143</c:v>
                </c:pt>
                <c:pt idx="140">
                  <c:v>144</c:v>
                </c:pt>
                <c:pt idx="141">
                  <c:v>145</c:v>
                </c:pt>
                <c:pt idx="142">
                  <c:v>146</c:v>
                </c:pt>
                <c:pt idx="143">
                  <c:v>147</c:v>
                </c:pt>
                <c:pt idx="144">
                  <c:v>148</c:v>
                </c:pt>
                <c:pt idx="145">
                  <c:v>149</c:v>
                </c:pt>
                <c:pt idx="146">
                  <c:v>150</c:v>
                </c:pt>
                <c:pt idx="147">
                  <c:v>151</c:v>
                </c:pt>
                <c:pt idx="148">
                  <c:v>152</c:v>
                </c:pt>
                <c:pt idx="149">
                  <c:v>153</c:v>
                </c:pt>
                <c:pt idx="150">
                  <c:v>154</c:v>
                </c:pt>
                <c:pt idx="151">
                  <c:v>155</c:v>
                </c:pt>
                <c:pt idx="152">
                  <c:v>156</c:v>
                </c:pt>
                <c:pt idx="153">
                  <c:v>157</c:v>
                </c:pt>
                <c:pt idx="154">
                  <c:v>158</c:v>
                </c:pt>
                <c:pt idx="155">
                  <c:v>159</c:v>
                </c:pt>
                <c:pt idx="156">
                  <c:v>160</c:v>
                </c:pt>
                <c:pt idx="157">
                  <c:v>161</c:v>
                </c:pt>
                <c:pt idx="158">
                  <c:v>162</c:v>
                </c:pt>
                <c:pt idx="159">
                  <c:v>163</c:v>
                </c:pt>
                <c:pt idx="160">
                  <c:v>164</c:v>
                </c:pt>
                <c:pt idx="161">
                  <c:v>165</c:v>
                </c:pt>
                <c:pt idx="162">
                  <c:v>166</c:v>
                </c:pt>
                <c:pt idx="163">
                  <c:v>167</c:v>
                </c:pt>
                <c:pt idx="164">
                  <c:v>168</c:v>
                </c:pt>
                <c:pt idx="165">
                  <c:v>169</c:v>
                </c:pt>
                <c:pt idx="166">
                  <c:v>170</c:v>
                </c:pt>
                <c:pt idx="167">
                  <c:v>171</c:v>
                </c:pt>
                <c:pt idx="168">
                  <c:v>172</c:v>
                </c:pt>
                <c:pt idx="169">
                  <c:v>173</c:v>
                </c:pt>
                <c:pt idx="170">
                  <c:v>174</c:v>
                </c:pt>
                <c:pt idx="171">
                  <c:v>175</c:v>
                </c:pt>
                <c:pt idx="172">
                  <c:v>176</c:v>
                </c:pt>
                <c:pt idx="173">
                  <c:v>177</c:v>
                </c:pt>
                <c:pt idx="174">
                  <c:v>178</c:v>
                </c:pt>
                <c:pt idx="175">
                  <c:v>179</c:v>
                </c:pt>
                <c:pt idx="176">
                  <c:v>180</c:v>
                </c:pt>
                <c:pt idx="177">
                  <c:v>181</c:v>
                </c:pt>
                <c:pt idx="178">
                  <c:v>182</c:v>
                </c:pt>
                <c:pt idx="179">
                  <c:v>183</c:v>
                </c:pt>
                <c:pt idx="180">
                  <c:v>184</c:v>
                </c:pt>
                <c:pt idx="181">
                  <c:v>185</c:v>
                </c:pt>
                <c:pt idx="182">
                  <c:v>186</c:v>
                </c:pt>
                <c:pt idx="183">
                  <c:v>187</c:v>
                </c:pt>
                <c:pt idx="184">
                  <c:v>188</c:v>
                </c:pt>
                <c:pt idx="185">
                  <c:v>189</c:v>
                </c:pt>
                <c:pt idx="186">
                  <c:v>190</c:v>
                </c:pt>
                <c:pt idx="187">
                  <c:v>191</c:v>
                </c:pt>
                <c:pt idx="188">
                  <c:v>192</c:v>
                </c:pt>
                <c:pt idx="189">
                  <c:v>193</c:v>
                </c:pt>
                <c:pt idx="190">
                  <c:v>194</c:v>
                </c:pt>
                <c:pt idx="191">
                  <c:v>195</c:v>
                </c:pt>
                <c:pt idx="192">
                  <c:v>196</c:v>
                </c:pt>
                <c:pt idx="193">
                  <c:v>197</c:v>
                </c:pt>
                <c:pt idx="194">
                  <c:v>198</c:v>
                </c:pt>
                <c:pt idx="195">
                  <c:v>199</c:v>
                </c:pt>
                <c:pt idx="196">
                  <c:v>200</c:v>
                </c:pt>
                <c:pt idx="197">
                  <c:v>201</c:v>
                </c:pt>
                <c:pt idx="198">
                  <c:v>202</c:v>
                </c:pt>
                <c:pt idx="199">
                  <c:v>203</c:v>
                </c:pt>
                <c:pt idx="200">
                  <c:v>204</c:v>
                </c:pt>
                <c:pt idx="201">
                  <c:v>205</c:v>
                </c:pt>
                <c:pt idx="202">
                  <c:v>206</c:v>
                </c:pt>
                <c:pt idx="203">
                  <c:v>207</c:v>
                </c:pt>
                <c:pt idx="204">
                  <c:v>208</c:v>
                </c:pt>
                <c:pt idx="205">
                  <c:v>209</c:v>
                </c:pt>
                <c:pt idx="206">
                  <c:v>210</c:v>
                </c:pt>
                <c:pt idx="207">
                  <c:v>211</c:v>
                </c:pt>
                <c:pt idx="208">
                  <c:v>212</c:v>
                </c:pt>
                <c:pt idx="209">
                  <c:v>213</c:v>
                </c:pt>
                <c:pt idx="210">
                  <c:v>214</c:v>
                </c:pt>
                <c:pt idx="211">
                  <c:v>215</c:v>
                </c:pt>
                <c:pt idx="212">
                  <c:v>216</c:v>
                </c:pt>
                <c:pt idx="213">
                  <c:v>217</c:v>
                </c:pt>
                <c:pt idx="214">
                  <c:v>218</c:v>
                </c:pt>
                <c:pt idx="215">
                  <c:v>219</c:v>
                </c:pt>
                <c:pt idx="216">
                  <c:v>220</c:v>
                </c:pt>
                <c:pt idx="217">
                  <c:v>221</c:v>
                </c:pt>
                <c:pt idx="218">
                  <c:v>222</c:v>
                </c:pt>
                <c:pt idx="219">
                  <c:v>223</c:v>
                </c:pt>
                <c:pt idx="220">
                  <c:v>224</c:v>
                </c:pt>
                <c:pt idx="221">
                  <c:v>225</c:v>
                </c:pt>
                <c:pt idx="222">
                  <c:v>226</c:v>
                </c:pt>
                <c:pt idx="223">
                  <c:v>227</c:v>
                </c:pt>
                <c:pt idx="224">
                  <c:v>228</c:v>
                </c:pt>
                <c:pt idx="225">
                  <c:v>229</c:v>
                </c:pt>
                <c:pt idx="226">
                  <c:v>230</c:v>
                </c:pt>
                <c:pt idx="227">
                  <c:v>231</c:v>
                </c:pt>
                <c:pt idx="228">
                  <c:v>232</c:v>
                </c:pt>
                <c:pt idx="229">
                  <c:v>233</c:v>
                </c:pt>
                <c:pt idx="230">
                  <c:v>234</c:v>
                </c:pt>
                <c:pt idx="231">
                  <c:v>235</c:v>
                </c:pt>
                <c:pt idx="232">
                  <c:v>236</c:v>
                </c:pt>
                <c:pt idx="233">
                  <c:v>237</c:v>
                </c:pt>
                <c:pt idx="234">
                  <c:v>238</c:v>
                </c:pt>
                <c:pt idx="235">
                  <c:v>239</c:v>
                </c:pt>
                <c:pt idx="236">
                  <c:v>240</c:v>
                </c:pt>
                <c:pt idx="237">
                  <c:v>241</c:v>
                </c:pt>
                <c:pt idx="238">
                  <c:v>242</c:v>
                </c:pt>
                <c:pt idx="239">
                  <c:v>243</c:v>
                </c:pt>
                <c:pt idx="240">
                  <c:v>244</c:v>
                </c:pt>
                <c:pt idx="241">
                  <c:v>245</c:v>
                </c:pt>
                <c:pt idx="242">
                  <c:v>246</c:v>
                </c:pt>
                <c:pt idx="243">
                  <c:v>247</c:v>
                </c:pt>
                <c:pt idx="244">
                  <c:v>248</c:v>
                </c:pt>
                <c:pt idx="245">
                  <c:v>249</c:v>
                </c:pt>
                <c:pt idx="246">
                  <c:v>250</c:v>
                </c:pt>
                <c:pt idx="247">
                  <c:v>251</c:v>
                </c:pt>
                <c:pt idx="248">
                  <c:v>252</c:v>
                </c:pt>
                <c:pt idx="249">
                  <c:v>253</c:v>
                </c:pt>
                <c:pt idx="250">
                  <c:v>254</c:v>
                </c:pt>
                <c:pt idx="251">
                  <c:v>255</c:v>
                </c:pt>
                <c:pt idx="252">
                  <c:v>256</c:v>
                </c:pt>
                <c:pt idx="253">
                  <c:v>257</c:v>
                </c:pt>
                <c:pt idx="254">
                  <c:v>258</c:v>
                </c:pt>
                <c:pt idx="255">
                  <c:v>259</c:v>
                </c:pt>
                <c:pt idx="256">
                  <c:v>260</c:v>
                </c:pt>
                <c:pt idx="257">
                  <c:v>261</c:v>
                </c:pt>
                <c:pt idx="258">
                  <c:v>262</c:v>
                </c:pt>
                <c:pt idx="259">
                  <c:v>263</c:v>
                </c:pt>
                <c:pt idx="260">
                  <c:v>264</c:v>
                </c:pt>
                <c:pt idx="261">
                  <c:v>265</c:v>
                </c:pt>
                <c:pt idx="262">
                  <c:v>266</c:v>
                </c:pt>
                <c:pt idx="263">
                  <c:v>267</c:v>
                </c:pt>
                <c:pt idx="264">
                  <c:v>268</c:v>
                </c:pt>
                <c:pt idx="265">
                  <c:v>269</c:v>
                </c:pt>
                <c:pt idx="266">
                  <c:v>270</c:v>
                </c:pt>
                <c:pt idx="267">
                  <c:v>271</c:v>
                </c:pt>
                <c:pt idx="268">
                  <c:v>272</c:v>
                </c:pt>
                <c:pt idx="269">
                  <c:v>273</c:v>
                </c:pt>
                <c:pt idx="270">
                  <c:v>274</c:v>
                </c:pt>
                <c:pt idx="271">
                  <c:v>275</c:v>
                </c:pt>
                <c:pt idx="272">
                  <c:v>276</c:v>
                </c:pt>
                <c:pt idx="273">
                  <c:v>277</c:v>
                </c:pt>
                <c:pt idx="274">
                  <c:v>278</c:v>
                </c:pt>
                <c:pt idx="275">
                  <c:v>279</c:v>
                </c:pt>
                <c:pt idx="276">
                  <c:v>280</c:v>
                </c:pt>
                <c:pt idx="277">
                  <c:v>281</c:v>
                </c:pt>
                <c:pt idx="278">
                  <c:v>282</c:v>
                </c:pt>
                <c:pt idx="279">
                  <c:v>283</c:v>
                </c:pt>
                <c:pt idx="280">
                  <c:v>284</c:v>
                </c:pt>
                <c:pt idx="281">
                  <c:v>285</c:v>
                </c:pt>
                <c:pt idx="282">
                  <c:v>286</c:v>
                </c:pt>
                <c:pt idx="283">
                  <c:v>287</c:v>
                </c:pt>
                <c:pt idx="284">
                  <c:v>288</c:v>
                </c:pt>
                <c:pt idx="285">
                  <c:v>289</c:v>
                </c:pt>
                <c:pt idx="286">
                  <c:v>290</c:v>
                </c:pt>
                <c:pt idx="287">
                  <c:v>291</c:v>
                </c:pt>
                <c:pt idx="288">
                  <c:v>292</c:v>
                </c:pt>
                <c:pt idx="289">
                  <c:v>293</c:v>
                </c:pt>
                <c:pt idx="290">
                  <c:v>294</c:v>
                </c:pt>
                <c:pt idx="291">
                  <c:v>295</c:v>
                </c:pt>
                <c:pt idx="292">
                  <c:v>296</c:v>
                </c:pt>
                <c:pt idx="293">
                  <c:v>297</c:v>
                </c:pt>
                <c:pt idx="294">
                  <c:v>298</c:v>
                </c:pt>
                <c:pt idx="295">
                  <c:v>299</c:v>
                </c:pt>
                <c:pt idx="296">
                  <c:v>300</c:v>
                </c:pt>
              </c:numCache>
            </c:numRef>
          </c:xVal>
          <c:yVal>
            <c:numRef>
              <c:f>Servicios!$C$3:$KM$3</c:f>
              <c:numCache>
                <c:formatCode>_(* #,##0_);_(* \(#,##0\);_(* "-"??_);_(@_)</c:formatCode>
                <c:ptCount val="297"/>
                <c:pt idx="0">
                  <c:v>9.3977259934706729E-3</c:v>
                </c:pt>
                <c:pt idx="1">
                  <c:v>9.3977259934706729E-3</c:v>
                </c:pt>
                <c:pt idx="2">
                  <c:v>1.8795451986941346E-2</c:v>
                </c:pt>
                <c:pt idx="3">
                  <c:v>1.8795451986941346E-2</c:v>
                </c:pt>
                <c:pt idx="4">
                  <c:v>1.8795451986941346E-2</c:v>
                </c:pt>
                <c:pt idx="5">
                  <c:v>1.8795451986941346E-2</c:v>
                </c:pt>
                <c:pt idx="6">
                  <c:v>2.8193177980412019E-2</c:v>
                </c:pt>
                <c:pt idx="7">
                  <c:v>2.8193177980412019E-2</c:v>
                </c:pt>
                <c:pt idx="8">
                  <c:v>2.8193177980412019E-2</c:v>
                </c:pt>
                <c:pt idx="9">
                  <c:v>3.7590903973882692E-2</c:v>
                </c:pt>
                <c:pt idx="10">
                  <c:v>2.8193177980412019E-2</c:v>
                </c:pt>
                <c:pt idx="11">
                  <c:v>3.7590903973882692E-2</c:v>
                </c:pt>
                <c:pt idx="12">
                  <c:v>2.8193177980412019E-2</c:v>
                </c:pt>
                <c:pt idx="13">
                  <c:v>2.8193177980412019E-2</c:v>
                </c:pt>
                <c:pt idx="14">
                  <c:v>3.7590903973882692E-2</c:v>
                </c:pt>
                <c:pt idx="15">
                  <c:v>3.7590903973882692E-2</c:v>
                </c:pt>
                <c:pt idx="16">
                  <c:v>3.7590903973882692E-2</c:v>
                </c:pt>
                <c:pt idx="17">
                  <c:v>3.7590903973882692E-2</c:v>
                </c:pt>
                <c:pt idx="18">
                  <c:v>4.6988629967353368E-2</c:v>
                </c:pt>
                <c:pt idx="19">
                  <c:v>3.7590903973882692E-2</c:v>
                </c:pt>
                <c:pt idx="20">
                  <c:v>4.6988629967353368E-2</c:v>
                </c:pt>
                <c:pt idx="21">
                  <c:v>3.7590903973882692E-2</c:v>
                </c:pt>
                <c:pt idx="22">
                  <c:v>4.6988629967353368E-2</c:v>
                </c:pt>
                <c:pt idx="23">
                  <c:v>4.6988629967353368E-2</c:v>
                </c:pt>
                <c:pt idx="24">
                  <c:v>4.6988629967353368E-2</c:v>
                </c:pt>
                <c:pt idx="25">
                  <c:v>4.6988629967353368E-2</c:v>
                </c:pt>
                <c:pt idx="26">
                  <c:v>4.6988629967353368E-2</c:v>
                </c:pt>
                <c:pt idx="27">
                  <c:v>5.6386355960824044E-2</c:v>
                </c:pt>
                <c:pt idx="28">
                  <c:v>4.6988629967353368E-2</c:v>
                </c:pt>
                <c:pt idx="29">
                  <c:v>5.6386355960824044E-2</c:v>
                </c:pt>
                <c:pt idx="30">
                  <c:v>6.5784081954294721E-2</c:v>
                </c:pt>
                <c:pt idx="31">
                  <c:v>8.4579533941236074E-2</c:v>
                </c:pt>
                <c:pt idx="32">
                  <c:v>9.3977259934706736E-2</c:v>
                </c:pt>
                <c:pt idx="33">
                  <c:v>0.13156816390858944</c:v>
                </c:pt>
                <c:pt idx="34">
                  <c:v>0.15976134188900146</c:v>
                </c:pt>
                <c:pt idx="35">
                  <c:v>0.20674997185635482</c:v>
                </c:pt>
                <c:pt idx="36">
                  <c:v>0.25373860182370817</c:v>
                </c:pt>
                <c:pt idx="37">
                  <c:v>0.32892040977147358</c:v>
                </c:pt>
                <c:pt idx="38">
                  <c:v>0.42289766970618031</c:v>
                </c:pt>
                <c:pt idx="39">
                  <c:v>0.54506810762129909</c:v>
                </c:pt>
                <c:pt idx="40">
                  <c:v>0.68603399752335914</c:v>
                </c:pt>
                <c:pt idx="41">
                  <c:v>0.86459079139930195</c:v>
                </c:pt>
                <c:pt idx="42">
                  <c:v>1.0995339412360687</c:v>
                </c:pt>
                <c:pt idx="43">
                  <c:v>1.3908634470336596</c:v>
                </c:pt>
                <c:pt idx="44">
                  <c:v>1.7573747607790158</c:v>
                </c:pt>
                <c:pt idx="45">
                  <c:v>2.2272610604525496</c:v>
                </c:pt>
                <c:pt idx="46">
                  <c:v>2.8099200720477313</c:v>
                </c:pt>
                <c:pt idx="47">
                  <c:v>3.514749521558032</c:v>
                </c:pt>
                <c:pt idx="48">
                  <c:v>4.3981357649442749</c:v>
                </c:pt>
                <c:pt idx="49">
                  <c:v>5.45068107621299</c:v>
                </c:pt>
                <c:pt idx="50">
                  <c:v>6.7099763593380608</c:v>
                </c:pt>
                <c:pt idx="51">
                  <c:v>8.2042147922998971</c:v>
                </c:pt>
                <c:pt idx="52">
                  <c:v>9.9239986491050303</c:v>
                </c:pt>
                <c:pt idx="53">
                  <c:v>11.86932792975346</c:v>
                </c:pt>
                <c:pt idx="54">
                  <c:v>14.040202634245187</c:v>
                </c:pt>
                <c:pt idx="55">
                  <c:v>16.417827310593267</c:v>
                </c:pt>
                <c:pt idx="56">
                  <c:v>18.96461105482382</c:v>
                </c:pt>
                <c:pt idx="57">
                  <c:v>21.633565236969492</c:v>
                </c:pt>
                <c:pt idx="58">
                  <c:v>24.377701227062929</c:v>
                </c:pt>
                <c:pt idx="59">
                  <c:v>27.140632669143304</c:v>
                </c:pt>
                <c:pt idx="60">
                  <c:v>29.847177755262859</c:v>
                </c:pt>
                <c:pt idx="61">
                  <c:v>32.440950129460759</c:v>
                </c:pt>
                <c:pt idx="62">
                  <c:v>34.856165709782722</c:v>
                </c:pt>
                <c:pt idx="63">
                  <c:v>37.027040414274452</c:v>
                </c:pt>
                <c:pt idx="64">
                  <c:v>38.925381064955531</c:v>
                </c:pt>
                <c:pt idx="65">
                  <c:v>40.485403579871665</c:v>
                </c:pt>
                <c:pt idx="66">
                  <c:v>41.697710233029383</c:v>
                </c:pt>
                <c:pt idx="67">
                  <c:v>42.552903298435218</c:v>
                </c:pt>
                <c:pt idx="68">
                  <c:v>43.013391872115271</c:v>
                </c:pt>
                <c:pt idx="69">
                  <c:v>43.107369132049975</c:v>
                </c:pt>
                <c:pt idx="70">
                  <c:v>42.853630530226276</c:v>
                </c:pt>
                <c:pt idx="71">
                  <c:v>42.252176066644154</c:v>
                </c:pt>
                <c:pt idx="72">
                  <c:v>41.349994371270967</c:v>
                </c:pt>
                <c:pt idx="73">
                  <c:v>40.184676348080593</c:v>
                </c:pt>
                <c:pt idx="74">
                  <c:v>38.793812901046941</c:v>
                </c:pt>
                <c:pt idx="75">
                  <c:v>37.205597208150394</c:v>
                </c:pt>
                <c:pt idx="76">
                  <c:v>35.476415625351784</c:v>
                </c:pt>
                <c:pt idx="77">
                  <c:v>33.625063604638072</c:v>
                </c:pt>
                <c:pt idx="78">
                  <c:v>31.717325227963524</c:v>
                </c:pt>
                <c:pt idx="79">
                  <c:v>29.762598221321625</c:v>
                </c:pt>
                <c:pt idx="80">
                  <c:v>27.798473488686252</c:v>
                </c:pt>
                <c:pt idx="81">
                  <c:v>25.862541934031292</c:v>
                </c:pt>
                <c:pt idx="82">
                  <c:v>23.973599009343687</c:v>
                </c:pt>
                <c:pt idx="83">
                  <c:v>22.141042440616907</c:v>
                </c:pt>
                <c:pt idx="84">
                  <c:v>20.374269953844419</c:v>
                </c:pt>
                <c:pt idx="85">
                  <c:v>18.71087245300011</c:v>
                </c:pt>
                <c:pt idx="86">
                  <c:v>17.122656760103567</c:v>
                </c:pt>
                <c:pt idx="87">
                  <c:v>15.637816053135202</c:v>
                </c:pt>
                <c:pt idx="88">
                  <c:v>14.246952606101539</c:v>
                </c:pt>
                <c:pt idx="89">
                  <c:v>12.959464144996057</c:v>
                </c:pt>
                <c:pt idx="90">
                  <c:v>11.775350669818751</c:v>
                </c:pt>
                <c:pt idx="91">
                  <c:v>10.675816728582683</c:v>
                </c:pt>
                <c:pt idx="92">
                  <c:v>9.6608623212878513</c:v>
                </c:pt>
                <c:pt idx="93">
                  <c:v>8.7492828999211962</c:v>
                </c:pt>
                <c:pt idx="94">
                  <c:v>7.9034875605088359</c:v>
                </c:pt>
                <c:pt idx="95">
                  <c:v>7.1328740290442401</c:v>
                </c:pt>
                <c:pt idx="96">
                  <c:v>6.4374423055274113</c:v>
                </c:pt>
                <c:pt idx="97">
                  <c:v>5.8077946639648763</c:v>
                </c:pt>
                <c:pt idx="98">
                  <c:v>5.2345333783631656</c:v>
                </c:pt>
                <c:pt idx="99">
                  <c:v>4.7176584487222772</c:v>
                </c:pt>
                <c:pt idx="100">
                  <c:v>4.2477721490487443</c:v>
                </c:pt>
                <c:pt idx="101">
                  <c:v>3.8342722053360343</c:v>
                </c:pt>
                <c:pt idx="102">
                  <c:v>3.4583631655972074</c:v>
                </c:pt>
                <c:pt idx="103">
                  <c:v>3.1106473038387925</c:v>
                </c:pt>
                <c:pt idx="104">
                  <c:v>2.8005223460542603</c:v>
                </c:pt>
                <c:pt idx="105">
                  <c:v>2.5279882922436121</c:v>
                </c:pt>
                <c:pt idx="106">
                  <c:v>2.2742496904199028</c:v>
                </c:pt>
                <c:pt idx="107">
                  <c:v>2.0487042665766069</c:v>
                </c:pt>
                <c:pt idx="108">
                  <c:v>1.8513520207137226</c:v>
                </c:pt>
                <c:pt idx="109">
                  <c:v>1.6727952268377799</c:v>
                </c:pt>
                <c:pt idx="110">
                  <c:v>1.5036361589553078</c:v>
                </c:pt>
                <c:pt idx="111">
                  <c:v>1.3532725430597767</c:v>
                </c:pt>
                <c:pt idx="112">
                  <c:v>1.2217043791511872</c:v>
                </c:pt>
                <c:pt idx="113">
                  <c:v>1.0995339412360687</c:v>
                </c:pt>
                <c:pt idx="114">
                  <c:v>0.99615895530789145</c:v>
                </c:pt>
                <c:pt idx="115">
                  <c:v>0.89278396937971405</c:v>
                </c:pt>
                <c:pt idx="116">
                  <c:v>0.80820443543847809</c:v>
                </c:pt>
                <c:pt idx="117">
                  <c:v>0.73302262749071279</c:v>
                </c:pt>
                <c:pt idx="118">
                  <c:v>0.65784081954294726</c:v>
                </c:pt>
                <c:pt idx="119">
                  <c:v>0.59205673758865229</c:v>
                </c:pt>
                <c:pt idx="120">
                  <c:v>0.54506810762129898</c:v>
                </c:pt>
                <c:pt idx="121">
                  <c:v>0.48868175166047506</c:v>
                </c:pt>
                <c:pt idx="122">
                  <c:v>0.44169312169312175</c:v>
                </c:pt>
                <c:pt idx="123">
                  <c:v>0.40410221771923904</c:v>
                </c:pt>
                <c:pt idx="124">
                  <c:v>0.36651131374535634</c:v>
                </c:pt>
                <c:pt idx="125">
                  <c:v>0.32892040977147358</c:v>
                </c:pt>
                <c:pt idx="126">
                  <c:v>0.30072723179106148</c:v>
                </c:pt>
                <c:pt idx="127">
                  <c:v>0.27253405381064949</c:v>
                </c:pt>
                <c:pt idx="128">
                  <c:v>0.2443408758302375</c:v>
                </c:pt>
                <c:pt idx="129">
                  <c:v>0.22554542384329615</c:v>
                </c:pt>
                <c:pt idx="130">
                  <c:v>0.19735224586288413</c:v>
                </c:pt>
                <c:pt idx="131">
                  <c:v>0.17855679387594278</c:v>
                </c:pt>
                <c:pt idx="132">
                  <c:v>0.15976134188900143</c:v>
                </c:pt>
                <c:pt idx="133">
                  <c:v>0.14096588990206008</c:v>
                </c:pt>
                <c:pt idx="134">
                  <c:v>0.13156816390858941</c:v>
                </c:pt>
                <c:pt idx="135">
                  <c:v>0.12217043791511878</c:v>
                </c:pt>
                <c:pt idx="136">
                  <c:v>0.1127727119216481</c:v>
                </c:pt>
                <c:pt idx="137">
                  <c:v>9.397725993470675E-2</c:v>
                </c:pt>
                <c:pt idx="138">
                  <c:v>9.397725993470675E-2</c:v>
                </c:pt>
                <c:pt idx="139">
                  <c:v>8.4579533941236074E-2</c:v>
                </c:pt>
                <c:pt idx="140">
                  <c:v>7.5181807947765397E-2</c:v>
                </c:pt>
                <c:pt idx="141">
                  <c:v>6.5784081954294721E-2</c:v>
                </c:pt>
                <c:pt idx="142">
                  <c:v>6.5784081954294721E-2</c:v>
                </c:pt>
                <c:pt idx="143">
                  <c:v>5.6386355960824044E-2</c:v>
                </c:pt>
                <c:pt idx="144">
                  <c:v>5.6386355960824044E-2</c:v>
                </c:pt>
                <c:pt idx="145">
                  <c:v>4.6988629967353368E-2</c:v>
                </c:pt>
                <c:pt idx="146">
                  <c:v>3.7590903973882692E-2</c:v>
                </c:pt>
                <c:pt idx="147">
                  <c:v>3.7590903973882692E-2</c:v>
                </c:pt>
                <c:pt idx="148">
                  <c:v>3.7590903973882692E-2</c:v>
                </c:pt>
                <c:pt idx="149">
                  <c:v>2.8193177980412019E-2</c:v>
                </c:pt>
                <c:pt idx="150">
                  <c:v>2.8193177980412019E-2</c:v>
                </c:pt>
                <c:pt idx="151">
                  <c:v>2.8193177980412019E-2</c:v>
                </c:pt>
                <c:pt idx="152">
                  <c:v>1.8795451986941346E-2</c:v>
                </c:pt>
                <c:pt idx="153">
                  <c:v>2.8193177980412019E-2</c:v>
                </c:pt>
                <c:pt idx="154">
                  <c:v>1.8795451986941346E-2</c:v>
                </c:pt>
                <c:pt idx="155">
                  <c:v>1.8795451986941346E-2</c:v>
                </c:pt>
                <c:pt idx="156">
                  <c:v>1.8795451986941346E-2</c:v>
                </c:pt>
                <c:pt idx="157">
                  <c:v>1.8795451986941346E-2</c:v>
                </c:pt>
                <c:pt idx="158">
                  <c:v>9.3977259934706729E-3</c:v>
                </c:pt>
                <c:pt idx="159">
                  <c:v>9.3977259934706729E-3</c:v>
                </c:pt>
                <c:pt idx="160">
                  <c:v>9.3977259934706729E-3</c:v>
                </c:pt>
                <c:pt idx="161">
                  <c:v>9.3977259934706729E-3</c:v>
                </c:pt>
                <c:pt idx="162">
                  <c:v>9.3977259934706729E-3</c:v>
                </c:pt>
                <c:pt idx="163">
                  <c:v>0</c:v>
                </c:pt>
                <c:pt idx="164">
                  <c:v>0</c:v>
                </c:pt>
                <c:pt idx="165">
                  <c:v>0</c:v>
                </c:pt>
                <c:pt idx="166">
                  <c:v>9.3977259934706729E-3</c:v>
                </c:pt>
                <c:pt idx="167">
                  <c:v>9.3977259934706729E-3</c:v>
                </c:pt>
                <c:pt idx="168">
                  <c:v>9.3977259934706729E-3</c:v>
                </c:pt>
                <c:pt idx="169">
                  <c:v>9.3977259934706729E-3</c:v>
                </c:pt>
                <c:pt idx="170">
                  <c:v>9.3977259934706729E-3</c:v>
                </c:pt>
                <c:pt idx="171">
                  <c:v>9.3977259934706729E-3</c:v>
                </c:pt>
                <c:pt idx="172">
                  <c:v>9.3977259934706729E-3</c:v>
                </c:pt>
                <c:pt idx="173">
                  <c:v>9.3977259934706729E-3</c:v>
                </c:pt>
                <c:pt idx="174">
                  <c:v>9.3977259934706729E-3</c:v>
                </c:pt>
                <c:pt idx="175">
                  <c:v>9.3977259934706729E-3</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numCache>
            </c:numRef>
          </c:yVal>
          <c:smooth val="1"/>
          <c:extLst>
            <c:ext xmlns:c16="http://schemas.microsoft.com/office/drawing/2014/chart" uri="{C3380CC4-5D6E-409C-BE32-E72D297353CC}">
              <c16:uniqueId val="{00000001-5BCC-4130-9DFF-083BB0F3507A}"/>
            </c:ext>
          </c:extLst>
        </c:ser>
        <c:dLbls>
          <c:showLegendKey val="0"/>
          <c:showVal val="0"/>
          <c:showCatName val="0"/>
          <c:showSerName val="0"/>
          <c:showPercent val="0"/>
          <c:showBubbleSize val="0"/>
        </c:dLbls>
        <c:axId val="867935647"/>
        <c:axId val="867681743"/>
      </c:scatterChart>
      <c:valAx>
        <c:axId val="867935647"/>
        <c:scaling>
          <c:orientation val="minMax"/>
          <c:max val="10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67681743"/>
        <c:crosses val="autoZero"/>
        <c:crossBetween val="midCat"/>
      </c:valAx>
      <c:valAx>
        <c:axId val="867681743"/>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67935647"/>
        <c:crosses val="autoZero"/>
        <c:crossBetween val="midCat"/>
      </c:valAx>
    </c:plotArea>
    <c:legend>
      <c:legendPos val="b"/>
      <c:layout>
        <c:manualLayout>
          <c:xMode val="edge"/>
          <c:yMode val="edge"/>
          <c:x val="0.11084421575526208"/>
          <c:y val="0.8034565044025247"/>
          <c:w val="0.78892516827152093"/>
          <c:h val="0.169096218913797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chart>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998EE84ED37C944AFD04CB45C2C45DE" ma:contentTypeVersion="1" ma:contentTypeDescription="Crear nuevo documento." ma:contentTypeScope="" ma:versionID="cd814aa2180cc2e30ea6d0a4c242caec">
  <xsd:schema xmlns:xsd="http://www.w3.org/2001/XMLSchema" xmlns:xs="http://www.w3.org/2001/XMLSchema" xmlns:p="http://schemas.microsoft.com/office/2006/metadata/properties" xmlns:ns2="3bfbf733-a6c3-488d-a481-abc1b690c7db" targetNamespace="http://schemas.microsoft.com/office/2006/metadata/properties" ma:root="true" ma:fieldsID="ef1698867de3744480bc0a6b8e876801" ns2:_="">
    <xsd:import namespace="3bfbf733-a6c3-488d-a481-abc1b690c7d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bf733-a6c3-488d-a481-abc1b690c7db"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4C6116-6850-44FE-9366-D7FA15A3DB04}">
  <ds:schemaRefs>
    <ds:schemaRef ds:uri="http://schemas.openxmlformats.org/officeDocument/2006/bibliography"/>
  </ds:schemaRefs>
</ds:datastoreItem>
</file>

<file path=customXml/itemProps2.xml><?xml version="1.0" encoding="utf-8"?>
<ds:datastoreItem xmlns:ds="http://schemas.openxmlformats.org/officeDocument/2006/customXml" ds:itemID="{1497F4EC-F9FF-4DC9-AA34-B6B2D0C7D14D}"/>
</file>

<file path=customXml/itemProps3.xml><?xml version="1.0" encoding="utf-8"?>
<ds:datastoreItem xmlns:ds="http://schemas.openxmlformats.org/officeDocument/2006/customXml" ds:itemID="{1722E1CF-73E0-4D6E-B37F-087ED2FA0C4D}"/>
</file>

<file path=customXml/itemProps4.xml><?xml version="1.0" encoding="utf-8"?>
<ds:datastoreItem xmlns:ds="http://schemas.openxmlformats.org/officeDocument/2006/customXml" ds:itemID="{B2DF3835-9D22-43F0-9B2C-BADDC1EB828E}"/>
</file>

<file path=docProps/app.xml><?xml version="1.0" encoding="utf-8"?>
<Properties xmlns="http://schemas.openxmlformats.org/officeDocument/2006/extended-properties" xmlns:vt="http://schemas.openxmlformats.org/officeDocument/2006/docPropsVTypes">
  <Template>Normal</Template>
  <TotalTime>38</TotalTime>
  <Pages>1</Pages>
  <Words>3884</Words>
  <Characters>21363</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Enrique Chaparro Narváez</dc:creator>
  <cp:keywords/>
  <dc:description/>
  <cp:lastModifiedBy>XANDER CARDENAS JIMENEZ</cp:lastModifiedBy>
  <cp:revision>18</cp:revision>
  <dcterms:created xsi:type="dcterms:W3CDTF">2020-04-19T03:34:00Z</dcterms:created>
  <dcterms:modified xsi:type="dcterms:W3CDTF">2020-04-20T02:25:00Z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Citation Style_1">
    <vt:lpwstr>http://www.zotero.org/styles/vancouver</vt:lpwstr>
  </property>
  <property fmtid="{D5CDD505-2E9C-101B-9397-08002B2CF9AE}" pid="24" name="Mendeley Unique User Id_1">
    <vt:lpwstr>c7c80b77-e0a7-3590-aeb4-ea71046f54be</vt:lpwstr>
  </property>
  <property fmtid="{D5CDD505-2E9C-101B-9397-08002B2CF9AE}" pid="25" name="ContentTypeId">
    <vt:lpwstr>0x0101004998EE84ED37C944AFD04CB45C2C45DE</vt:lpwstr>
  </property>
</Properties>
</file>